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27523DF6" w14:textId="77777777" w:rsidR="0073309C" w:rsidRDefault="0073309C" w:rsidP="00081256">
      <w:pPr>
        <w:spacing w:after="0"/>
        <w:jc w:val="center"/>
        <w:rPr>
          <w:rFonts w:ascii="Arial" w:hAnsi="Arial" w:cs="Arial"/>
          <w:b/>
          <w:sz w:val="28"/>
          <w:szCs w:val="28"/>
        </w:rPr>
      </w:pPr>
    </w:p>
    <w:p w14:paraId="73628B88" w14:textId="0C8C94E3" w:rsidR="0073309C" w:rsidRDefault="0073309C" w:rsidP="00081256">
      <w:pPr>
        <w:spacing w:after="0"/>
        <w:jc w:val="center"/>
        <w:rPr>
          <w:rFonts w:ascii="Arial" w:hAnsi="Arial" w:cs="Arial"/>
          <w:b/>
          <w:sz w:val="28"/>
          <w:szCs w:val="28"/>
        </w:rPr>
      </w:pPr>
      <w:r>
        <w:rPr>
          <w:rFonts w:ascii="Arial" w:hAnsi="Arial" w:cs="Arial"/>
          <w:b/>
          <w:sz w:val="28"/>
          <w:szCs w:val="28"/>
        </w:rPr>
        <w:t xml:space="preserve">Senior Commissioning Manager </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4167055B" w:rsidR="00883689" w:rsidRPr="003E0AC5" w:rsidRDefault="000A5544" w:rsidP="009A4FE8">
            <w:pPr>
              <w:spacing w:after="0"/>
              <w:rPr>
                <w:rFonts w:ascii="Arial" w:hAnsi="Arial" w:cs="Arial"/>
                <w:sz w:val="24"/>
                <w:szCs w:val="24"/>
              </w:rPr>
            </w:pPr>
            <w:r>
              <w:rPr>
                <w:rFonts w:ascii="Arial" w:hAnsi="Arial" w:cs="Arial"/>
                <w:sz w:val="24"/>
                <w:szCs w:val="24"/>
              </w:rPr>
              <w:t>Education and Children's Services</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65B745E4" w:rsidR="003E6252" w:rsidRPr="003E0AC5" w:rsidRDefault="009C122A" w:rsidP="009A4FE8">
            <w:pPr>
              <w:spacing w:after="0"/>
              <w:rPr>
                <w:rFonts w:ascii="Arial" w:hAnsi="Arial" w:cs="Arial"/>
                <w:sz w:val="24"/>
                <w:szCs w:val="24"/>
              </w:rPr>
            </w:pPr>
            <w:r>
              <w:rPr>
                <w:rFonts w:ascii="Arial" w:hAnsi="Arial" w:cs="Arial"/>
                <w:sz w:val="24"/>
                <w:szCs w:val="24"/>
              </w:rPr>
              <w:t>Children and Families Commissioning</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1F9C4B9D" w:rsidR="00CC31A1" w:rsidRPr="00A447BE" w:rsidRDefault="000A5544" w:rsidP="005E7B78">
            <w:pPr>
              <w:spacing w:after="0"/>
              <w:rPr>
                <w:rFonts w:ascii="Arial" w:hAnsi="Arial" w:cs="Arial"/>
                <w:sz w:val="24"/>
                <w:szCs w:val="24"/>
              </w:rPr>
            </w:pPr>
            <w:r>
              <w:rPr>
                <w:rFonts w:ascii="Arial" w:hAnsi="Arial" w:cs="Arial"/>
                <w:sz w:val="24"/>
                <w:szCs w:val="24"/>
              </w:rPr>
              <w:t>Preston</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5645CD23" w:rsidR="003C57AB" w:rsidRPr="00A447BE" w:rsidRDefault="00DC7117" w:rsidP="002D61C2">
            <w:pPr>
              <w:spacing w:after="0"/>
              <w:rPr>
                <w:rFonts w:ascii="Arial" w:hAnsi="Arial" w:cs="Arial"/>
                <w:sz w:val="24"/>
                <w:szCs w:val="24"/>
              </w:rPr>
            </w:pPr>
            <w:r>
              <w:rPr>
                <w:rFonts w:ascii="Arial" w:hAnsi="Arial" w:cs="Arial"/>
                <w:sz w:val="24"/>
                <w:szCs w:val="24"/>
              </w:rPr>
              <w:t xml:space="preserve">£55,612 - </w:t>
            </w:r>
            <w:r w:rsidR="00FF78DF">
              <w:rPr>
                <w:rFonts w:ascii="Arial" w:hAnsi="Arial" w:cs="Arial"/>
                <w:sz w:val="24"/>
                <w:szCs w:val="24"/>
              </w:rPr>
              <w:t>£60,147</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035178E0" w:rsidR="003C57AB" w:rsidRPr="00BE7A35" w:rsidRDefault="000A5544" w:rsidP="003E0AC5">
            <w:pPr>
              <w:spacing w:after="0"/>
              <w:rPr>
                <w:rFonts w:ascii="Arial" w:hAnsi="Arial" w:cs="Arial"/>
                <w:sz w:val="24"/>
                <w:szCs w:val="24"/>
              </w:rPr>
            </w:pPr>
            <w:r>
              <w:rPr>
                <w:rFonts w:ascii="Arial" w:hAnsi="Arial" w:cs="Arial"/>
                <w:sz w:val="24"/>
                <w:szCs w:val="24"/>
              </w:rPr>
              <w:t>12</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56253C33" w:rsidR="003C57AB" w:rsidRPr="00A447BE" w:rsidRDefault="009C122A" w:rsidP="003C57AB">
            <w:pPr>
              <w:spacing w:after="0"/>
              <w:rPr>
                <w:rFonts w:ascii="Arial" w:hAnsi="Arial" w:cs="Arial"/>
                <w:sz w:val="24"/>
                <w:szCs w:val="24"/>
              </w:rPr>
            </w:pPr>
            <w:r>
              <w:rPr>
                <w:rFonts w:ascii="Arial" w:hAnsi="Arial" w:cs="Arial"/>
                <w:sz w:val="24"/>
                <w:szCs w:val="24"/>
              </w:rPr>
              <w:t>Head of Service: Children and Families Commissioning</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70CD85EE" w:rsidR="003C57AB" w:rsidRPr="00BE7A35" w:rsidRDefault="00937F4E" w:rsidP="003C57AB">
            <w:pPr>
              <w:spacing w:after="0"/>
              <w:rPr>
                <w:rFonts w:ascii="Arial" w:hAnsi="Arial" w:cs="Arial"/>
                <w:sz w:val="24"/>
                <w:szCs w:val="24"/>
              </w:rPr>
            </w:pPr>
            <w:r w:rsidRPr="00937F4E">
              <w:rPr>
                <w:rFonts w:ascii="Arial" w:hAnsi="Arial" w:cs="Arial"/>
                <w:sz w:val="24"/>
                <w:szCs w:val="24"/>
              </w:rPr>
              <w:t>Line management of staff supporting commissioning activity as appropriate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53386985" w14:textId="77777777" w:rsidR="009A4FE8" w:rsidRPr="00C466DF" w:rsidRDefault="009A4FE8" w:rsidP="009A4FE8">
            <w:pPr>
              <w:spacing w:after="0" w:line="240" w:lineRule="auto"/>
              <w:rPr>
                <w:rFonts w:ascii="Arial" w:hAnsi="Arial" w:cs="Arial"/>
                <w:sz w:val="24"/>
                <w:szCs w:val="24"/>
              </w:rPr>
            </w:pPr>
          </w:p>
          <w:p w14:paraId="6C9B4D83" w14:textId="77777777" w:rsidR="00CF02A2" w:rsidRPr="00B21AD9" w:rsidRDefault="00CF02A2" w:rsidP="00B21AD9">
            <w:pPr>
              <w:spacing w:after="0" w:line="240" w:lineRule="auto"/>
              <w:rPr>
                <w:rFonts w:ascii="Arial" w:hAnsi="Arial"/>
                <w:sz w:val="24"/>
                <w:szCs w:val="24"/>
              </w:rPr>
            </w:pPr>
            <w:r w:rsidRPr="00B21AD9">
              <w:rPr>
                <w:rFonts w:ascii="Arial" w:hAnsi="Arial"/>
                <w:sz w:val="24"/>
                <w:szCs w:val="24"/>
              </w:rPr>
              <w:t>This role will lead the development and delivery of commissioning plans for education, health and care, ensuring services are outcome focused, financially sustainable and responsive to local need.</w:t>
            </w:r>
          </w:p>
          <w:p w14:paraId="1CF99866" w14:textId="77777777" w:rsidR="00CF02A2" w:rsidRPr="00B21AD9" w:rsidRDefault="00CF02A2" w:rsidP="00B21AD9">
            <w:pPr>
              <w:spacing w:after="0" w:line="240" w:lineRule="auto"/>
              <w:rPr>
                <w:rFonts w:ascii="Arial" w:hAnsi="Arial"/>
                <w:sz w:val="24"/>
                <w:szCs w:val="24"/>
              </w:rPr>
            </w:pPr>
            <w:r w:rsidRPr="00B21AD9">
              <w:rPr>
                <w:rFonts w:ascii="Arial" w:hAnsi="Arial"/>
                <w:sz w:val="24"/>
                <w:szCs w:val="24"/>
              </w:rPr>
              <w:t>A significant element of the role includes commissioning for children and young people with special educational needs and disabilities (SEND).  In this context, the postholder will work with partners across the Lancashire SEND Partnership, contributing to relevant inclusion activity and the delivery of the Council’s wider service improvement priorities.</w:t>
            </w:r>
          </w:p>
          <w:p w14:paraId="3DED65CD" w14:textId="318F96DC" w:rsidR="007A1CCA" w:rsidRPr="00784003" w:rsidRDefault="007A1CCA" w:rsidP="009A4FE8">
            <w:pPr>
              <w:spacing w:after="0" w:line="240" w:lineRule="auto"/>
              <w:rPr>
                <w:rFonts w:ascii="Arial" w:hAnsi="Arial"/>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77777777" w:rsidR="006E31CC" w:rsidRPr="006E31CC" w:rsidRDefault="006E31CC" w:rsidP="006E31CC">
            <w:pPr>
              <w:pStyle w:val="HayGroup11"/>
              <w:ind w:left="360"/>
              <w:rPr>
                <w:rFonts w:ascii="Arial" w:hAnsi="Arial" w:cs="Arial"/>
                <w:b/>
                <w:sz w:val="24"/>
                <w:lang w:val="en-GB"/>
              </w:rPr>
            </w:pPr>
          </w:p>
          <w:p w14:paraId="06093CF9" w14:textId="77777777" w:rsidR="00CF02A2" w:rsidRPr="006E31CC" w:rsidRDefault="00CF02A2" w:rsidP="00C35F09">
            <w:pPr>
              <w:pStyle w:val="HayGroup11"/>
              <w:numPr>
                <w:ilvl w:val="0"/>
                <w:numId w:val="3"/>
              </w:numPr>
              <w:rPr>
                <w:rFonts w:ascii="Arial" w:hAnsi="Arial" w:cs="Arial"/>
                <w:sz w:val="24"/>
                <w:lang w:val="en-GB"/>
              </w:rPr>
            </w:pPr>
            <w:r w:rsidRPr="006E31CC">
              <w:rPr>
                <w:rFonts w:ascii="Arial" w:hAnsi="Arial" w:cs="Arial"/>
                <w:sz w:val="24"/>
              </w:rPr>
              <w:t>Quality of advice/service against legal, safety and best practice standards</w:t>
            </w:r>
          </w:p>
          <w:p w14:paraId="1D0B3F0D" w14:textId="77777777" w:rsidR="006E31CC" w:rsidRPr="006E31CC" w:rsidRDefault="006E31CC" w:rsidP="00C35F09">
            <w:pPr>
              <w:pStyle w:val="HayGroup11"/>
              <w:numPr>
                <w:ilvl w:val="0"/>
                <w:numId w:val="3"/>
              </w:numPr>
              <w:rPr>
                <w:rFonts w:ascii="Arial" w:hAnsi="Arial" w:cs="Arial"/>
                <w:sz w:val="24"/>
                <w:lang w:val="en-GB"/>
              </w:rPr>
            </w:pPr>
            <w:r w:rsidRPr="006E31CC">
              <w:rPr>
                <w:rFonts w:ascii="Arial" w:hAnsi="Arial" w:cs="Arial"/>
                <w:sz w:val="24"/>
              </w:rPr>
              <w:t xml:space="preserve">Achievement of relevant service targets </w:t>
            </w:r>
          </w:p>
          <w:p w14:paraId="633D5408" w14:textId="278D8BA5" w:rsidR="00CF02A2" w:rsidRPr="006E31CC" w:rsidRDefault="00CF02A2" w:rsidP="00C35F09">
            <w:pPr>
              <w:pStyle w:val="HayGroup11"/>
              <w:numPr>
                <w:ilvl w:val="0"/>
                <w:numId w:val="3"/>
              </w:numPr>
              <w:rPr>
                <w:rFonts w:ascii="Arial" w:hAnsi="Arial" w:cs="Arial"/>
                <w:sz w:val="24"/>
                <w:lang w:val="en-GB"/>
              </w:rPr>
            </w:pPr>
            <w:r w:rsidRPr="006E31CC">
              <w:rPr>
                <w:rFonts w:ascii="Arial" w:hAnsi="Arial" w:cs="Arial"/>
                <w:sz w:val="24"/>
              </w:rPr>
              <w:t xml:space="preserve">Adherence to internal/external quality standards </w:t>
            </w:r>
          </w:p>
          <w:p w14:paraId="63F1477E" w14:textId="77777777" w:rsidR="006E31CC" w:rsidRPr="006E31CC" w:rsidRDefault="006E31CC" w:rsidP="00C35F09">
            <w:pPr>
              <w:pStyle w:val="HayGroup11"/>
              <w:numPr>
                <w:ilvl w:val="0"/>
                <w:numId w:val="3"/>
              </w:numPr>
              <w:rPr>
                <w:rFonts w:ascii="Arial" w:hAnsi="Arial" w:cs="Arial"/>
                <w:sz w:val="24"/>
                <w:lang w:val="en-GB"/>
              </w:rPr>
            </w:pPr>
            <w:r w:rsidRPr="006E31CC">
              <w:rPr>
                <w:rFonts w:ascii="Arial" w:hAnsi="Arial" w:cs="Arial"/>
                <w:sz w:val="24"/>
              </w:rPr>
              <w:t xml:space="preserve">Adherence to policies and procedures </w:t>
            </w:r>
          </w:p>
          <w:p w14:paraId="3F69AA93" w14:textId="77777777" w:rsidR="006E31CC" w:rsidRPr="006E31CC" w:rsidRDefault="006E31CC" w:rsidP="00C35F09">
            <w:pPr>
              <w:pStyle w:val="HayGroup11"/>
              <w:numPr>
                <w:ilvl w:val="0"/>
                <w:numId w:val="3"/>
              </w:numPr>
              <w:rPr>
                <w:rFonts w:ascii="Arial" w:hAnsi="Arial" w:cs="Arial"/>
                <w:sz w:val="24"/>
                <w:lang w:val="en-GB"/>
              </w:rPr>
            </w:pPr>
            <w:r w:rsidRPr="006E31CC">
              <w:rPr>
                <w:rFonts w:ascii="Arial" w:hAnsi="Arial" w:cs="Arial"/>
                <w:sz w:val="24"/>
              </w:rPr>
              <w:t xml:space="preserve">Accuracy and timeliness of information recording and processing </w:t>
            </w:r>
          </w:p>
          <w:p w14:paraId="118B629F" w14:textId="77777777" w:rsidR="006E31CC" w:rsidRPr="006E31CC" w:rsidRDefault="006E31CC" w:rsidP="00C35F09">
            <w:pPr>
              <w:pStyle w:val="HayGroup11"/>
              <w:numPr>
                <w:ilvl w:val="0"/>
                <w:numId w:val="3"/>
              </w:numPr>
              <w:rPr>
                <w:rFonts w:ascii="Arial" w:hAnsi="Arial" w:cs="Arial"/>
                <w:sz w:val="24"/>
                <w:lang w:val="en-GB"/>
              </w:rPr>
            </w:pPr>
            <w:r w:rsidRPr="006E31CC">
              <w:rPr>
                <w:rFonts w:ascii="Arial" w:hAnsi="Arial" w:cs="Arial"/>
                <w:sz w:val="24"/>
              </w:rPr>
              <w:t>Customer and stakeholder feedback</w:t>
            </w:r>
          </w:p>
          <w:p w14:paraId="2277D781" w14:textId="4707CE8A" w:rsidR="006E31CC" w:rsidRPr="006E31CC" w:rsidRDefault="006E31CC" w:rsidP="00C35F09">
            <w:pPr>
              <w:pStyle w:val="HayGroup11"/>
              <w:numPr>
                <w:ilvl w:val="0"/>
                <w:numId w:val="3"/>
              </w:numPr>
              <w:rPr>
                <w:rFonts w:ascii="Arial" w:hAnsi="Arial" w:cs="Arial"/>
                <w:sz w:val="24"/>
                <w:lang w:val="en-GB"/>
              </w:rPr>
            </w:pPr>
            <w:r w:rsidRPr="006E31CC">
              <w:rPr>
                <w:rFonts w:ascii="Arial" w:hAnsi="Arial" w:cs="Arial"/>
                <w:sz w:val="24"/>
                <w:lang w:val="en-GB"/>
              </w:rPr>
              <w:t>Leading Lancashire Framework</w:t>
            </w:r>
          </w:p>
          <w:p w14:paraId="6A933266" w14:textId="77777777" w:rsidR="006E31CC" w:rsidRPr="006E31CC" w:rsidRDefault="006E31CC" w:rsidP="006E31CC">
            <w:pPr>
              <w:pStyle w:val="HayGroup11"/>
              <w:ind w:left="357"/>
              <w:rPr>
                <w:rFonts w:ascii="Arial" w:hAnsi="Arial" w:cs="Arial"/>
                <w:b/>
                <w:sz w:val="24"/>
                <w:lang w:val="en-GB"/>
              </w:rPr>
            </w:pPr>
          </w:p>
        </w:tc>
      </w:tr>
    </w:tbl>
    <w:p w14:paraId="701C7365" w14:textId="77777777" w:rsidR="006E31CC" w:rsidRDefault="006E31CC"/>
    <w:p w14:paraId="0E73F4A6" w14:textId="77777777" w:rsidR="00FD696E" w:rsidRDefault="00FD696E"/>
    <w:p w14:paraId="0D1C5676" w14:textId="77777777" w:rsidR="00FD696E" w:rsidRDefault="00FD696E"/>
    <w:p w14:paraId="565399D3" w14:textId="77777777" w:rsidR="00FD696E" w:rsidRDefault="00FD696E"/>
    <w:p w14:paraId="3B1F8767" w14:textId="77777777" w:rsidR="00FD696E" w:rsidRDefault="00FD696E"/>
    <w:p w14:paraId="117726F9" w14:textId="77777777" w:rsidR="00FD696E" w:rsidRDefault="00FD696E"/>
    <w:p w14:paraId="70B62C00" w14:textId="77777777" w:rsidR="00FD696E" w:rsidRDefault="00FD696E" w:rsidP="00A07899">
      <w:pPr>
        <w:ind w:firstLine="720"/>
      </w:pPr>
    </w:p>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D03D79" w:rsidRPr="00784003" w14:paraId="3DD900D3" w14:textId="77777777" w:rsidTr="00D03D79">
        <w:tc>
          <w:tcPr>
            <w:tcW w:w="10808" w:type="dxa"/>
            <w:tcBorders>
              <w:top w:val="single" w:sz="4" w:space="0" w:color="auto"/>
              <w:left w:val="single" w:sz="4" w:space="0" w:color="auto"/>
              <w:bottom w:val="single" w:sz="4" w:space="0" w:color="auto"/>
              <w:right w:val="single" w:sz="4" w:space="0" w:color="auto"/>
            </w:tcBorders>
            <w:shd w:val="clear" w:color="auto" w:fill="A50021"/>
          </w:tcPr>
          <w:p w14:paraId="540E261D" w14:textId="73898954" w:rsidR="00D03D79" w:rsidRPr="00D03D79" w:rsidRDefault="00D03D79" w:rsidP="00EA7005">
            <w:pPr>
              <w:spacing w:before="120" w:after="120" w:line="240" w:lineRule="auto"/>
              <w:rPr>
                <w:rFonts w:ascii="Arial" w:hAnsi="Arial" w:cs="Arial"/>
                <w:b/>
                <w:sz w:val="24"/>
                <w:szCs w:val="24"/>
              </w:rPr>
            </w:pPr>
            <w:r w:rsidRPr="00D03D79">
              <w:rPr>
                <w:rFonts w:ascii="Arial" w:hAnsi="Arial" w:cs="Arial"/>
                <w:b/>
                <w:sz w:val="24"/>
                <w:szCs w:val="24"/>
              </w:rPr>
              <w:lastRenderedPageBreak/>
              <w:t>Lead</w:t>
            </w:r>
            <w:r>
              <w:rPr>
                <w:rFonts w:ascii="Arial" w:hAnsi="Arial" w:cs="Arial"/>
                <w:b/>
                <w:sz w:val="24"/>
                <w:szCs w:val="24"/>
              </w:rPr>
              <w:t>ing Lancashire – Our Leadership Framework</w:t>
            </w:r>
          </w:p>
        </w:tc>
      </w:tr>
      <w:tr w:rsidR="00D03D79" w:rsidRPr="00784003" w14:paraId="769F1EB0" w14:textId="77777777" w:rsidTr="00D03D79">
        <w:tc>
          <w:tcPr>
            <w:tcW w:w="10808" w:type="dxa"/>
            <w:tcBorders>
              <w:top w:val="single" w:sz="4" w:space="0" w:color="auto"/>
              <w:left w:val="single" w:sz="4" w:space="0" w:color="auto"/>
              <w:bottom w:val="single" w:sz="4" w:space="0" w:color="auto"/>
              <w:right w:val="single" w:sz="4" w:space="0" w:color="auto"/>
            </w:tcBorders>
          </w:tcPr>
          <w:p w14:paraId="490173C5" w14:textId="649A34B3" w:rsidR="00D03D79" w:rsidRPr="00DF3781" w:rsidRDefault="00D03D79" w:rsidP="00EA7005">
            <w:pPr>
              <w:spacing w:before="120" w:after="120" w:line="240" w:lineRule="auto"/>
              <w:rPr>
                <w:rFonts w:ascii="Arial" w:hAnsi="Arial" w:cs="Arial"/>
                <w:b/>
                <w:sz w:val="24"/>
                <w:szCs w:val="24"/>
              </w:rPr>
            </w:pPr>
            <w:r>
              <w:rPr>
                <w:noProof/>
              </w:rPr>
              <w:drawing>
                <wp:inline distT="0" distB="0" distL="0" distR="0" wp14:anchorId="0AE4997D" wp14:editId="7EE0F772">
                  <wp:extent cx="6840220" cy="473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40220" cy="4730750"/>
                          </a:xfrm>
                          <a:prstGeom prst="rect">
                            <a:avLst/>
                          </a:prstGeom>
                        </pic:spPr>
                      </pic:pic>
                    </a:graphicData>
                  </a:graphic>
                </wp:inline>
              </w:drawing>
            </w:r>
          </w:p>
          <w:p w14:paraId="57C33397" w14:textId="77777777" w:rsidR="00D03D79" w:rsidRPr="00D03D79" w:rsidRDefault="00D03D79" w:rsidP="00D03D79">
            <w:pPr>
              <w:rPr>
                <w:rFonts w:ascii="Arial" w:hAnsi="Arial" w:cs="Arial"/>
                <w:b/>
                <w:sz w:val="24"/>
                <w:szCs w:val="24"/>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114F49" w:rsidRPr="00784003" w14:paraId="74B34718" w14:textId="77777777" w:rsidTr="00D03D79">
        <w:trPr>
          <w:trHeight w:val="745"/>
        </w:trPr>
        <w:tc>
          <w:tcPr>
            <w:tcW w:w="10808" w:type="dxa"/>
          </w:tcPr>
          <w:p w14:paraId="576F85A9" w14:textId="77777777" w:rsidR="00114F49" w:rsidRPr="00057B4B" w:rsidRDefault="00114F49" w:rsidP="00057B4B">
            <w:pPr>
              <w:pStyle w:val="ListParagraph"/>
              <w:rPr>
                <w:rFonts w:ascii="Arial" w:hAnsi="Arial" w:cs="Arial"/>
                <w:sz w:val="24"/>
                <w:szCs w:val="24"/>
              </w:rPr>
            </w:pPr>
          </w:p>
          <w:p w14:paraId="197B57AA" w14:textId="77777777" w:rsidR="00CF02A2" w:rsidRDefault="00CF02A2" w:rsidP="00C35F09">
            <w:pPr>
              <w:pStyle w:val="ListParagraph"/>
              <w:numPr>
                <w:ilvl w:val="0"/>
                <w:numId w:val="4"/>
              </w:numPr>
              <w:spacing w:before="240"/>
              <w:rPr>
                <w:rFonts w:ascii="Arial" w:hAnsi="Arial" w:cs="Arial"/>
                <w:color w:val="000000"/>
                <w:sz w:val="24"/>
                <w:szCs w:val="24"/>
              </w:rPr>
            </w:pPr>
            <w:r w:rsidRPr="00057B4B">
              <w:rPr>
                <w:rFonts w:ascii="Arial" w:hAnsi="Arial" w:cs="Arial"/>
                <w:color w:val="000000"/>
                <w:sz w:val="24"/>
                <w:szCs w:val="24"/>
              </w:rPr>
              <w:t>Lead the development and delivery of commissioning strategies and plans across priority service portfolios, including complex statutory services for children and young people, ensuring alignment with relevant legislation, policy and best practice.</w:t>
            </w:r>
          </w:p>
          <w:p w14:paraId="2BDEDE30" w14:textId="77777777" w:rsidR="00CF02A2" w:rsidRPr="00E33392" w:rsidRDefault="00CF02A2" w:rsidP="00C35F09">
            <w:pPr>
              <w:pStyle w:val="ListParagraph"/>
              <w:numPr>
                <w:ilvl w:val="0"/>
                <w:numId w:val="4"/>
              </w:numPr>
              <w:rPr>
                <w:rFonts w:ascii="Arial" w:hAnsi="Arial" w:cs="Arial"/>
                <w:color w:val="000000"/>
                <w:sz w:val="24"/>
                <w:szCs w:val="24"/>
              </w:rPr>
            </w:pPr>
            <w:r w:rsidRPr="00E33392">
              <w:rPr>
                <w:rFonts w:ascii="Arial" w:hAnsi="Arial" w:cs="Arial"/>
                <w:color w:val="000000"/>
                <w:sz w:val="24"/>
                <w:szCs w:val="24"/>
              </w:rPr>
              <w:t>Provide proactive, expert commissioning advice to shape service design and delivery, both internally and with partners, influencing decisions that improve outcomes and deliver value for money.</w:t>
            </w:r>
          </w:p>
          <w:p w14:paraId="1FFEB194" w14:textId="77777777" w:rsidR="00CF02A2" w:rsidRPr="00E33392" w:rsidRDefault="00CF02A2" w:rsidP="00C35F09">
            <w:pPr>
              <w:pStyle w:val="ListParagraph"/>
              <w:numPr>
                <w:ilvl w:val="0"/>
                <w:numId w:val="4"/>
              </w:numPr>
              <w:rPr>
                <w:rFonts w:ascii="Arial" w:hAnsi="Arial" w:cs="Arial"/>
                <w:color w:val="000000"/>
                <w:sz w:val="24"/>
                <w:szCs w:val="24"/>
              </w:rPr>
            </w:pPr>
            <w:r w:rsidRPr="00E33392">
              <w:rPr>
                <w:rFonts w:ascii="Arial" w:hAnsi="Arial" w:cs="Arial"/>
                <w:color w:val="000000"/>
                <w:sz w:val="24"/>
                <w:szCs w:val="24"/>
              </w:rPr>
              <w:t>Ensure commissioned services are informed by robust data, performance insight and feedback from children, young people and families, working with appropriate participation networks and representative forums.</w:t>
            </w:r>
          </w:p>
          <w:p w14:paraId="08EF41F4" w14:textId="77777777" w:rsidR="00CF02A2" w:rsidRPr="00057B4B" w:rsidRDefault="00CF02A2" w:rsidP="00C35F09">
            <w:pPr>
              <w:pStyle w:val="ListParagraph"/>
              <w:numPr>
                <w:ilvl w:val="0"/>
                <w:numId w:val="4"/>
              </w:numPr>
              <w:spacing w:before="240"/>
              <w:rPr>
                <w:rFonts w:ascii="Arial" w:hAnsi="Arial" w:cs="Arial"/>
                <w:color w:val="000000"/>
                <w:sz w:val="24"/>
                <w:szCs w:val="24"/>
              </w:rPr>
            </w:pPr>
            <w:r w:rsidRPr="00057B4B">
              <w:rPr>
                <w:rFonts w:ascii="Arial" w:hAnsi="Arial" w:cs="Arial"/>
                <w:color w:val="000000"/>
                <w:sz w:val="24"/>
                <w:szCs w:val="24"/>
              </w:rPr>
              <w:t>Assess the effectiveness of current services and develop evidence based recommendations for system wide improvement, influencing decision making within the Council and across partnership arrangements.</w:t>
            </w:r>
          </w:p>
          <w:p w14:paraId="5DC1D02E" w14:textId="77777777" w:rsidR="00CF02A2" w:rsidRPr="00057B4B" w:rsidRDefault="00CF02A2" w:rsidP="00C35F09">
            <w:pPr>
              <w:pStyle w:val="ListParagraph"/>
              <w:numPr>
                <w:ilvl w:val="0"/>
                <w:numId w:val="4"/>
              </w:numPr>
              <w:spacing w:before="240"/>
              <w:rPr>
                <w:rFonts w:ascii="Arial" w:hAnsi="Arial" w:cs="Arial"/>
                <w:sz w:val="24"/>
                <w:szCs w:val="24"/>
              </w:rPr>
            </w:pPr>
            <w:r w:rsidRPr="00057B4B">
              <w:rPr>
                <w:rFonts w:ascii="Arial" w:hAnsi="Arial" w:cs="Arial"/>
                <w:sz w:val="24"/>
                <w:szCs w:val="24"/>
              </w:rPr>
              <w:lastRenderedPageBreak/>
              <w:t xml:space="preserve">Provide </w:t>
            </w:r>
            <w:r>
              <w:rPr>
                <w:rFonts w:ascii="Arial" w:hAnsi="Arial" w:cs="Arial"/>
                <w:sz w:val="24"/>
                <w:szCs w:val="24"/>
              </w:rPr>
              <w:t>s</w:t>
            </w:r>
            <w:r w:rsidRPr="00057B4B">
              <w:rPr>
                <w:rFonts w:ascii="Arial" w:hAnsi="Arial" w:cs="Arial"/>
                <w:sz w:val="24"/>
                <w:szCs w:val="24"/>
              </w:rPr>
              <w:t xml:space="preserve">enior oversight of </w:t>
            </w:r>
            <w:r>
              <w:rPr>
                <w:rFonts w:ascii="Arial" w:hAnsi="Arial" w:cs="Arial"/>
                <w:sz w:val="24"/>
                <w:szCs w:val="24"/>
              </w:rPr>
              <w:t>commissioned services, including SEND requirements such as the S</w:t>
            </w:r>
            <w:r w:rsidRPr="00057B4B">
              <w:rPr>
                <w:rFonts w:ascii="Arial" w:hAnsi="Arial" w:cs="Arial"/>
                <w:sz w:val="24"/>
                <w:szCs w:val="24"/>
              </w:rPr>
              <w:t>END Local Offer for Lancashire.</w:t>
            </w:r>
          </w:p>
          <w:p w14:paraId="6F5C6ACC" w14:textId="77777777" w:rsidR="00CF02A2" w:rsidRPr="00310F22" w:rsidRDefault="00CF02A2" w:rsidP="00C35F09">
            <w:pPr>
              <w:pStyle w:val="ListParagraph"/>
              <w:numPr>
                <w:ilvl w:val="0"/>
                <w:numId w:val="4"/>
              </w:numPr>
              <w:spacing w:before="240"/>
              <w:rPr>
                <w:rFonts w:ascii="Arial" w:hAnsi="Arial" w:cs="Arial"/>
                <w:sz w:val="24"/>
                <w:szCs w:val="24"/>
              </w:rPr>
            </w:pPr>
            <w:r w:rsidRPr="00057B4B">
              <w:rPr>
                <w:rFonts w:ascii="Arial" w:hAnsi="Arial" w:cs="Arial"/>
                <w:sz w:val="24"/>
                <w:szCs w:val="24"/>
              </w:rPr>
              <w:t xml:space="preserve">Foster professional networks throughout Lancashire, South Cumbria, and the region, leveraging these connections to guide strategic planning and delivery, and to promote collaborative partnerships. </w:t>
            </w:r>
          </w:p>
          <w:p w14:paraId="49AC5E87" w14:textId="4779F823" w:rsidR="00114F49" w:rsidRPr="00057B4B" w:rsidRDefault="00CF02A2" w:rsidP="00C35F09">
            <w:pPr>
              <w:pStyle w:val="ListParagraph"/>
              <w:numPr>
                <w:ilvl w:val="0"/>
                <w:numId w:val="4"/>
              </w:numPr>
              <w:rPr>
                <w:rFonts w:ascii="Arial" w:hAnsi="Arial" w:cs="Arial"/>
                <w:sz w:val="24"/>
                <w:szCs w:val="24"/>
              </w:rPr>
            </w:pPr>
            <w:r w:rsidRPr="00057B4B">
              <w:rPr>
                <w:rFonts w:ascii="Arial" w:hAnsi="Arial" w:cs="Arial"/>
                <w:sz w:val="24"/>
                <w:szCs w:val="24"/>
              </w:rPr>
              <w:t>Develop and endorse a culture of ongoing professional growth for staff at all levels, ensuring a commitment to excellence and development.</w:t>
            </w: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C35F09">
            <w:pPr>
              <w:pStyle w:val="Default"/>
              <w:numPr>
                <w:ilvl w:val="0"/>
                <w:numId w:val="1"/>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C35F09">
            <w:pPr>
              <w:pStyle w:val="Default"/>
              <w:numPr>
                <w:ilvl w:val="0"/>
                <w:numId w:val="1"/>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C35F09">
            <w:pPr>
              <w:pStyle w:val="Default"/>
              <w:numPr>
                <w:ilvl w:val="0"/>
                <w:numId w:val="1"/>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C35F09">
            <w:pPr>
              <w:pStyle w:val="Default"/>
              <w:numPr>
                <w:ilvl w:val="0"/>
                <w:numId w:val="1"/>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C35F09">
            <w:pPr>
              <w:pStyle w:val="Default"/>
              <w:numPr>
                <w:ilvl w:val="0"/>
                <w:numId w:val="1"/>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C35F09">
            <w:pPr>
              <w:pStyle w:val="Default"/>
              <w:numPr>
                <w:ilvl w:val="0"/>
                <w:numId w:val="1"/>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C35F09">
            <w:pPr>
              <w:pStyle w:val="Default"/>
              <w:numPr>
                <w:ilvl w:val="0"/>
                <w:numId w:val="1"/>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lastRenderedPageBreak/>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C35F09">
            <w:pPr>
              <w:pStyle w:val="Default"/>
              <w:numPr>
                <w:ilvl w:val="0"/>
                <w:numId w:val="1"/>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C35F09">
            <w:pPr>
              <w:pStyle w:val="Default"/>
              <w:numPr>
                <w:ilvl w:val="0"/>
                <w:numId w:val="1"/>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3302DE8" w14:textId="02062AA6" w:rsidR="006E4782" w:rsidRDefault="00AC6D12" w:rsidP="00C35F09">
            <w:pPr>
              <w:pStyle w:val="ListParagraph"/>
              <w:numPr>
                <w:ilvl w:val="0"/>
                <w:numId w:val="1"/>
              </w:numPr>
              <w:spacing w:beforeLines="120" w:before="288" w:afterLines="120" w:after="288" w:line="240" w:lineRule="auto"/>
              <w:jc w:val="both"/>
              <w:rPr>
                <w:rFonts w:ascii="Arial" w:hAnsi="Arial" w:cs="Arial"/>
                <w:sz w:val="24"/>
                <w:szCs w:val="24"/>
              </w:rPr>
            </w:pPr>
            <w:r>
              <w:rPr>
                <w:rFonts w:ascii="Arial" w:hAnsi="Arial" w:cs="Arial"/>
                <w:sz w:val="24"/>
                <w:szCs w:val="24"/>
              </w:rPr>
              <w:t>Honours Degree</w:t>
            </w:r>
            <w:r w:rsidR="00E72733" w:rsidRPr="00E72733">
              <w:rPr>
                <w:rFonts w:ascii="Arial" w:hAnsi="Arial" w:cs="Arial"/>
                <w:sz w:val="24"/>
                <w:szCs w:val="24"/>
              </w:rPr>
              <w:t xml:space="preserve"> level qualification or </w:t>
            </w:r>
            <w:r w:rsidR="003511DB">
              <w:rPr>
                <w:rFonts w:ascii="Arial" w:hAnsi="Arial" w:cs="Arial"/>
                <w:sz w:val="24"/>
                <w:szCs w:val="24"/>
              </w:rPr>
              <w:t>equivalent</w:t>
            </w:r>
            <w:r w:rsidR="0002281C">
              <w:rPr>
                <w:rFonts w:ascii="Arial" w:hAnsi="Arial" w:cs="Arial"/>
                <w:sz w:val="24"/>
                <w:szCs w:val="24"/>
              </w:rPr>
              <w:t xml:space="preserve">, or equivalent substantial </w:t>
            </w:r>
            <w:r w:rsidR="001A22AA">
              <w:rPr>
                <w:rFonts w:ascii="Arial" w:hAnsi="Arial" w:cs="Arial"/>
                <w:sz w:val="24"/>
                <w:szCs w:val="24"/>
              </w:rPr>
              <w:t>vocational experience in a complex commissioning environment</w:t>
            </w:r>
          </w:p>
          <w:p w14:paraId="5D10FB07" w14:textId="7C330D28" w:rsidR="00E72733" w:rsidRPr="0088457C" w:rsidRDefault="00E72733" w:rsidP="00C35F09">
            <w:pPr>
              <w:pStyle w:val="ListParagraph"/>
              <w:numPr>
                <w:ilvl w:val="0"/>
                <w:numId w:val="1"/>
              </w:numPr>
              <w:spacing w:beforeLines="120" w:before="288" w:afterLines="120" w:after="288" w:line="240" w:lineRule="auto"/>
              <w:jc w:val="both"/>
              <w:rPr>
                <w:rFonts w:ascii="Arial" w:hAnsi="Arial" w:cs="Arial"/>
                <w:sz w:val="24"/>
                <w:szCs w:val="24"/>
              </w:rPr>
            </w:pPr>
            <w:r w:rsidRPr="00E72733">
              <w:rPr>
                <w:rFonts w:ascii="Arial" w:hAnsi="Arial" w:cs="Arial"/>
                <w:sz w:val="24"/>
                <w:szCs w:val="24"/>
              </w:rPr>
              <w:t>A commitment to continuing professional development</w:t>
            </w:r>
            <w:r w:rsidR="006B4C48">
              <w:rPr>
                <w:rFonts w:ascii="Arial" w:hAnsi="Arial" w:cs="Arial"/>
                <w:sz w:val="24"/>
                <w:szCs w:val="24"/>
              </w:rPr>
              <w:t>.</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68991D27" w14:textId="77777777" w:rsidR="006E31CC" w:rsidRDefault="006E31CC" w:rsidP="006E31CC">
            <w:pPr>
              <w:pStyle w:val="ListParagraph"/>
              <w:spacing w:after="0" w:line="240" w:lineRule="auto"/>
              <w:ind w:left="360"/>
              <w:rPr>
                <w:rFonts w:ascii="Arial" w:hAnsi="Arial" w:cs="Arial"/>
                <w:sz w:val="24"/>
                <w:szCs w:val="24"/>
              </w:rPr>
            </w:pPr>
          </w:p>
          <w:p w14:paraId="2F8EBED1" w14:textId="77777777" w:rsidR="00CF02A2" w:rsidRPr="00297AE6" w:rsidRDefault="00CF02A2" w:rsidP="00C35F09">
            <w:pPr>
              <w:pStyle w:val="ListParagraph"/>
              <w:numPr>
                <w:ilvl w:val="0"/>
                <w:numId w:val="1"/>
              </w:numPr>
              <w:spacing w:after="0" w:line="240" w:lineRule="auto"/>
              <w:rPr>
                <w:rFonts w:ascii="Arial" w:hAnsi="Arial" w:cs="Arial"/>
                <w:sz w:val="24"/>
                <w:szCs w:val="24"/>
              </w:rPr>
            </w:pPr>
            <w:r w:rsidRPr="00297AE6">
              <w:rPr>
                <w:rFonts w:ascii="Arial" w:hAnsi="Arial" w:cs="Arial"/>
                <w:sz w:val="24"/>
                <w:szCs w:val="24"/>
              </w:rPr>
              <w:t xml:space="preserve">Extensive experience in commissioning </w:t>
            </w:r>
            <w:r>
              <w:rPr>
                <w:rFonts w:ascii="Arial" w:hAnsi="Arial" w:cs="Arial"/>
                <w:sz w:val="24"/>
                <w:szCs w:val="24"/>
              </w:rPr>
              <w:t xml:space="preserve">at scale </w:t>
            </w:r>
            <w:r w:rsidRPr="00297AE6">
              <w:rPr>
                <w:rFonts w:ascii="Arial" w:hAnsi="Arial" w:cs="Arial"/>
                <w:sz w:val="24"/>
                <w:szCs w:val="24"/>
              </w:rPr>
              <w:t xml:space="preserve">within local government or healthcare contexts, </w:t>
            </w:r>
            <w:r>
              <w:rPr>
                <w:rFonts w:ascii="Arial" w:hAnsi="Arial" w:cs="Arial"/>
                <w:sz w:val="24"/>
                <w:szCs w:val="24"/>
              </w:rPr>
              <w:t>including</w:t>
            </w:r>
            <w:r w:rsidRPr="00297AE6">
              <w:rPr>
                <w:rFonts w:ascii="Arial" w:hAnsi="Arial" w:cs="Arial"/>
                <w:sz w:val="24"/>
                <w:szCs w:val="24"/>
              </w:rPr>
              <w:t xml:space="preserve"> services for children and young peopl</w:t>
            </w:r>
            <w:r>
              <w:rPr>
                <w:rFonts w:ascii="Arial" w:hAnsi="Arial" w:cs="Arial"/>
                <w:sz w:val="24"/>
                <w:szCs w:val="24"/>
              </w:rPr>
              <w:t>e</w:t>
            </w:r>
            <w:r w:rsidRPr="00297AE6">
              <w:rPr>
                <w:rFonts w:ascii="Arial" w:hAnsi="Arial" w:cs="Arial"/>
                <w:sz w:val="24"/>
                <w:szCs w:val="24"/>
              </w:rPr>
              <w:t xml:space="preserve">. </w:t>
            </w:r>
          </w:p>
          <w:p w14:paraId="1E60A3DE" w14:textId="707025E2" w:rsidR="001B2494" w:rsidRPr="00C402B9" w:rsidRDefault="001B2494" w:rsidP="00C35F09">
            <w:pPr>
              <w:pStyle w:val="ListParagraph"/>
              <w:numPr>
                <w:ilvl w:val="0"/>
                <w:numId w:val="1"/>
              </w:numPr>
              <w:spacing w:after="0" w:line="240" w:lineRule="auto"/>
              <w:rPr>
                <w:rFonts w:ascii="Arial" w:hAnsi="Arial" w:cs="Arial"/>
                <w:sz w:val="24"/>
                <w:szCs w:val="24"/>
              </w:rPr>
            </w:pPr>
            <w:r w:rsidRPr="00C402B9">
              <w:rPr>
                <w:rFonts w:ascii="Arial" w:hAnsi="Arial" w:cs="Arial"/>
                <w:sz w:val="24"/>
                <w:szCs w:val="24"/>
              </w:rPr>
              <w:t xml:space="preserve">Broad experience in cross-departmental </w:t>
            </w:r>
            <w:r w:rsidR="007A1733">
              <w:rPr>
                <w:rFonts w:ascii="Arial" w:hAnsi="Arial" w:cs="Arial"/>
                <w:sz w:val="24"/>
                <w:szCs w:val="24"/>
              </w:rPr>
              <w:t>and partnership working</w:t>
            </w:r>
            <w:r w:rsidRPr="00C402B9">
              <w:rPr>
                <w:rFonts w:ascii="Arial" w:hAnsi="Arial" w:cs="Arial"/>
                <w:sz w:val="24"/>
                <w:szCs w:val="24"/>
              </w:rPr>
              <w:t xml:space="preserve">, overseeing commissioning processes, service transformation, and </w:t>
            </w:r>
            <w:r w:rsidR="00FD0B09">
              <w:rPr>
                <w:rFonts w:ascii="Arial" w:hAnsi="Arial" w:cs="Arial"/>
                <w:sz w:val="24"/>
                <w:szCs w:val="24"/>
              </w:rPr>
              <w:t>delivery across organisational boundaries.</w:t>
            </w:r>
          </w:p>
          <w:p w14:paraId="26BC0CE4" w14:textId="77777777" w:rsidR="00CF02A2" w:rsidRPr="00C402B9" w:rsidRDefault="00CF02A2" w:rsidP="00C35F09">
            <w:pPr>
              <w:pStyle w:val="ListParagraph"/>
              <w:numPr>
                <w:ilvl w:val="0"/>
                <w:numId w:val="1"/>
              </w:numPr>
              <w:spacing w:after="0" w:line="240" w:lineRule="auto"/>
              <w:rPr>
                <w:rFonts w:ascii="Arial" w:hAnsi="Arial" w:cs="Arial"/>
                <w:sz w:val="24"/>
                <w:szCs w:val="24"/>
              </w:rPr>
            </w:pPr>
            <w:r w:rsidRPr="00C402B9">
              <w:rPr>
                <w:rFonts w:ascii="Arial" w:hAnsi="Arial" w:cs="Arial"/>
                <w:sz w:val="24"/>
                <w:szCs w:val="24"/>
              </w:rPr>
              <w:t xml:space="preserve">Proven success in strategic and policy </w:t>
            </w:r>
            <w:r>
              <w:rPr>
                <w:rFonts w:ascii="Arial" w:hAnsi="Arial" w:cs="Arial"/>
                <w:sz w:val="24"/>
                <w:szCs w:val="24"/>
              </w:rPr>
              <w:t>development</w:t>
            </w:r>
            <w:r w:rsidRPr="00C402B9">
              <w:rPr>
                <w:rFonts w:ascii="Arial" w:hAnsi="Arial" w:cs="Arial"/>
                <w:sz w:val="24"/>
                <w:szCs w:val="24"/>
              </w:rPr>
              <w:t xml:space="preserve"> </w:t>
            </w:r>
            <w:r>
              <w:rPr>
                <w:rFonts w:ascii="Arial" w:hAnsi="Arial" w:cs="Arial"/>
                <w:sz w:val="24"/>
                <w:szCs w:val="24"/>
              </w:rPr>
              <w:t>in</w:t>
            </w:r>
            <w:r w:rsidRPr="00C402B9">
              <w:rPr>
                <w:rFonts w:ascii="Arial" w:hAnsi="Arial" w:cs="Arial"/>
                <w:sz w:val="24"/>
                <w:szCs w:val="24"/>
              </w:rPr>
              <w:t xml:space="preserve"> </w:t>
            </w:r>
            <w:r>
              <w:rPr>
                <w:rFonts w:ascii="Arial" w:hAnsi="Arial" w:cs="Arial"/>
                <w:sz w:val="24"/>
                <w:szCs w:val="24"/>
              </w:rPr>
              <w:t>a local government or health context</w:t>
            </w:r>
            <w:r w:rsidRPr="00C402B9">
              <w:rPr>
                <w:rFonts w:ascii="Arial" w:hAnsi="Arial" w:cs="Arial"/>
                <w:sz w:val="24"/>
                <w:szCs w:val="24"/>
              </w:rPr>
              <w:t xml:space="preserve">, leading to enhanced outcomes for </w:t>
            </w:r>
            <w:r>
              <w:rPr>
                <w:rFonts w:ascii="Arial" w:hAnsi="Arial" w:cs="Arial"/>
                <w:sz w:val="24"/>
                <w:szCs w:val="24"/>
              </w:rPr>
              <w:t>people with additional needs</w:t>
            </w:r>
            <w:r w:rsidRPr="00C402B9">
              <w:rPr>
                <w:rFonts w:ascii="Arial" w:hAnsi="Arial" w:cs="Arial"/>
                <w:sz w:val="24"/>
                <w:szCs w:val="24"/>
              </w:rPr>
              <w:t xml:space="preserve">. </w:t>
            </w:r>
          </w:p>
          <w:p w14:paraId="43909D88" w14:textId="77777777" w:rsidR="001B2494" w:rsidRPr="00DD2431" w:rsidRDefault="001B2494" w:rsidP="00C35F09">
            <w:pPr>
              <w:pStyle w:val="ListParagraph"/>
              <w:numPr>
                <w:ilvl w:val="0"/>
                <w:numId w:val="1"/>
              </w:numPr>
              <w:spacing w:after="0" w:line="240" w:lineRule="auto"/>
              <w:rPr>
                <w:rFonts w:ascii="Arial" w:hAnsi="Arial" w:cs="Arial"/>
                <w:sz w:val="24"/>
                <w:szCs w:val="24"/>
              </w:rPr>
            </w:pPr>
            <w:r w:rsidRPr="00DD2431">
              <w:rPr>
                <w:rFonts w:ascii="Arial" w:hAnsi="Arial" w:cs="Arial"/>
                <w:sz w:val="24"/>
                <w:szCs w:val="24"/>
              </w:rPr>
              <w:t xml:space="preserve">Experience of using innovative and creative approaches to improve outcomes, within a changing and challenging financial environment. </w:t>
            </w:r>
          </w:p>
          <w:p w14:paraId="464F2690" w14:textId="77777777" w:rsidR="00CF02A2" w:rsidRPr="00DD2431" w:rsidRDefault="00CF02A2" w:rsidP="00C35F09">
            <w:pPr>
              <w:pStyle w:val="ListParagraph"/>
              <w:numPr>
                <w:ilvl w:val="0"/>
                <w:numId w:val="1"/>
              </w:numPr>
              <w:spacing w:after="0" w:line="240" w:lineRule="auto"/>
              <w:rPr>
                <w:rFonts w:ascii="Arial" w:hAnsi="Arial" w:cs="Arial"/>
                <w:sz w:val="24"/>
                <w:szCs w:val="24"/>
              </w:rPr>
            </w:pPr>
            <w:r w:rsidRPr="00DD2431">
              <w:rPr>
                <w:rFonts w:ascii="Arial" w:hAnsi="Arial" w:cs="Arial"/>
                <w:sz w:val="24"/>
                <w:szCs w:val="24"/>
              </w:rPr>
              <w:t>A strong track record of market shaping, market oversight and contingency planning</w:t>
            </w:r>
            <w:r>
              <w:rPr>
                <w:rFonts w:ascii="Arial" w:hAnsi="Arial" w:cs="Arial"/>
                <w:sz w:val="24"/>
                <w:szCs w:val="24"/>
              </w:rPr>
              <w:t xml:space="preserve"> to support service sustainability</w:t>
            </w:r>
            <w:r w:rsidRPr="00DD2431">
              <w:rPr>
                <w:rFonts w:ascii="Arial" w:hAnsi="Arial" w:cs="Arial"/>
                <w:sz w:val="24"/>
                <w:szCs w:val="24"/>
              </w:rPr>
              <w:t xml:space="preserve">.  </w:t>
            </w:r>
          </w:p>
          <w:p w14:paraId="5A4A73E0" w14:textId="6AEB2D29" w:rsidR="001B2494" w:rsidRPr="00DD2431" w:rsidRDefault="00E15418" w:rsidP="00C35F09">
            <w:pPr>
              <w:pStyle w:val="ListParagraph"/>
              <w:numPr>
                <w:ilvl w:val="0"/>
                <w:numId w:val="1"/>
              </w:numPr>
              <w:spacing w:after="0" w:line="240" w:lineRule="auto"/>
              <w:rPr>
                <w:rFonts w:ascii="Arial" w:hAnsi="Arial" w:cs="Arial"/>
                <w:sz w:val="24"/>
                <w:szCs w:val="24"/>
              </w:rPr>
            </w:pPr>
            <w:r>
              <w:rPr>
                <w:rFonts w:ascii="Arial" w:hAnsi="Arial" w:cs="Arial"/>
                <w:sz w:val="24"/>
                <w:szCs w:val="24"/>
              </w:rPr>
              <w:t>A s</w:t>
            </w:r>
            <w:r w:rsidR="001B2494" w:rsidRPr="00DD2431">
              <w:rPr>
                <w:rFonts w:ascii="Arial" w:hAnsi="Arial" w:cs="Arial"/>
                <w:sz w:val="24"/>
                <w:szCs w:val="24"/>
              </w:rPr>
              <w:t>trong track record of stakeholder engagement and fostering effective partnerships</w:t>
            </w:r>
            <w:r w:rsidR="00DD21B3">
              <w:rPr>
                <w:rFonts w:ascii="Arial" w:hAnsi="Arial" w:cs="Arial"/>
                <w:sz w:val="24"/>
                <w:szCs w:val="24"/>
              </w:rPr>
              <w:t xml:space="preserve"> across public, community and independent sectors.</w:t>
            </w:r>
          </w:p>
          <w:p w14:paraId="1A773A38" w14:textId="11876265" w:rsidR="006E31CC" w:rsidRPr="0088457C" w:rsidRDefault="006E31CC" w:rsidP="00E92949">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52BF3702" w14:textId="3DCF4815" w:rsidR="00D56F48" w:rsidRPr="00421292" w:rsidRDefault="00D56F48" w:rsidP="00C35F09">
            <w:pPr>
              <w:pStyle w:val="ListParagraph"/>
              <w:numPr>
                <w:ilvl w:val="0"/>
                <w:numId w:val="2"/>
              </w:numPr>
              <w:spacing w:before="120" w:after="120" w:line="240" w:lineRule="auto"/>
              <w:rPr>
                <w:rFonts w:ascii="Arial" w:hAnsi="Arial" w:cs="Arial"/>
                <w:sz w:val="24"/>
                <w:szCs w:val="24"/>
              </w:rPr>
            </w:pPr>
            <w:r w:rsidRPr="00421292">
              <w:rPr>
                <w:rFonts w:ascii="Arial" w:hAnsi="Arial" w:cs="Arial"/>
                <w:sz w:val="24"/>
                <w:szCs w:val="24"/>
              </w:rPr>
              <w:t>Excellent communication and interpersonal skills, capable of engaging with stakeholders, parents, and young people effectively.</w:t>
            </w:r>
          </w:p>
          <w:p w14:paraId="1404037E" w14:textId="77777777" w:rsidR="00CF02A2" w:rsidRDefault="00CF02A2" w:rsidP="00C35F09">
            <w:pPr>
              <w:pStyle w:val="ListParagraph"/>
              <w:numPr>
                <w:ilvl w:val="0"/>
                <w:numId w:val="2"/>
              </w:numPr>
              <w:spacing w:before="120" w:after="120" w:line="240" w:lineRule="auto"/>
              <w:rPr>
                <w:rFonts w:ascii="Arial" w:hAnsi="Arial" w:cs="Arial"/>
                <w:sz w:val="24"/>
                <w:szCs w:val="24"/>
              </w:rPr>
            </w:pPr>
            <w:r>
              <w:rPr>
                <w:rFonts w:ascii="Arial" w:hAnsi="Arial" w:cs="Arial"/>
                <w:sz w:val="24"/>
                <w:szCs w:val="24"/>
              </w:rPr>
              <w:t>Strong understanding of the statutory and policy framework for children's services, including SEND.</w:t>
            </w:r>
          </w:p>
          <w:p w14:paraId="7906C51F" w14:textId="77777777" w:rsidR="00CF02A2" w:rsidRPr="00421292" w:rsidRDefault="00CF02A2" w:rsidP="00C35F09">
            <w:pPr>
              <w:pStyle w:val="ListParagraph"/>
              <w:numPr>
                <w:ilvl w:val="0"/>
                <w:numId w:val="2"/>
              </w:numPr>
              <w:spacing w:before="120" w:after="120" w:line="240" w:lineRule="auto"/>
              <w:rPr>
                <w:rFonts w:ascii="Arial" w:hAnsi="Arial" w:cs="Arial"/>
                <w:sz w:val="24"/>
                <w:szCs w:val="24"/>
              </w:rPr>
            </w:pPr>
            <w:r w:rsidRPr="00421292">
              <w:rPr>
                <w:rFonts w:ascii="Arial" w:hAnsi="Arial" w:cs="Arial"/>
                <w:sz w:val="24"/>
                <w:szCs w:val="24"/>
              </w:rPr>
              <w:t>Understanding of current challenges and developments within the SEND landscape, and their relationship to county council objectives.</w:t>
            </w:r>
          </w:p>
          <w:p w14:paraId="13C539FD" w14:textId="77777777" w:rsidR="00CF02A2" w:rsidRDefault="00CF02A2" w:rsidP="00C35F09">
            <w:pPr>
              <w:pStyle w:val="ListParagraph"/>
              <w:numPr>
                <w:ilvl w:val="0"/>
                <w:numId w:val="2"/>
              </w:numPr>
              <w:rPr>
                <w:rFonts w:ascii="Arial" w:hAnsi="Arial" w:cs="Arial"/>
                <w:sz w:val="24"/>
                <w:szCs w:val="24"/>
              </w:rPr>
            </w:pPr>
            <w:r w:rsidRPr="00421292">
              <w:rPr>
                <w:rFonts w:ascii="Arial" w:hAnsi="Arial" w:cs="Arial"/>
                <w:sz w:val="24"/>
                <w:szCs w:val="24"/>
              </w:rPr>
              <w:t>Strong analytical and problem-solving abilities to assess complex needs and commission appropriate services</w:t>
            </w:r>
          </w:p>
          <w:p w14:paraId="104E5EFA" w14:textId="77777777" w:rsidR="00CF02A2" w:rsidRPr="00FC68D4" w:rsidRDefault="00CF02A2" w:rsidP="00C35F09">
            <w:pPr>
              <w:pStyle w:val="ListParagraph"/>
              <w:numPr>
                <w:ilvl w:val="0"/>
                <w:numId w:val="2"/>
              </w:numPr>
              <w:rPr>
                <w:rFonts w:ascii="Arial" w:hAnsi="Arial" w:cs="Arial"/>
                <w:sz w:val="24"/>
                <w:szCs w:val="24"/>
              </w:rPr>
            </w:pPr>
            <w:r w:rsidRPr="00FC68D4">
              <w:rPr>
                <w:rFonts w:ascii="Arial" w:hAnsi="Arial" w:cs="Arial"/>
                <w:sz w:val="24"/>
                <w:szCs w:val="24"/>
              </w:rPr>
              <w:t>Ability to use sound judgement to lead the design and delivery of plans to resolve service issues and improve performance, using creative thinking and robust risk assessment.</w:t>
            </w:r>
          </w:p>
          <w:p w14:paraId="299E5BE9" w14:textId="77777777" w:rsidR="00CF02A2" w:rsidRPr="00421292" w:rsidRDefault="00CF02A2" w:rsidP="00C35F09">
            <w:pPr>
              <w:pStyle w:val="ListParagraph"/>
              <w:numPr>
                <w:ilvl w:val="0"/>
                <w:numId w:val="2"/>
              </w:numPr>
              <w:rPr>
                <w:rFonts w:ascii="Arial" w:hAnsi="Arial" w:cs="Arial"/>
                <w:sz w:val="24"/>
                <w:szCs w:val="24"/>
              </w:rPr>
            </w:pPr>
            <w:r w:rsidRPr="00421292">
              <w:rPr>
                <w:rFonts w:ascii="Arial" w:hAnsi="Arial" w:cs="Arial"/>
                <w:sz w:val="24"/>
                <w:szCs w:val="24"/>
              </w:rPr>
              <w:t xml:space="preserve">Effective Leadership and Management at a senior level of a diverse workforce to support excellence in service delivery. </w:t>
            </w:r>
          </w:p>
          <w:p w14:paraId="3B38D13C" w14:textId="77777777" w:rsidR="00CF02A2" w:rsidRPr="00421292" w:rsidRDefault="00CF02A2" w:rsidP="00C35F09">
            <w:pPr>
              <w:pStyle w:val="ListParagraph"/>
              <w:numPr>
                <w:ilvl w:val="0"/>
                <w:numId w:val="2"/>
              </w:numPr>
              <w:spacing w:after="0" w:line="240" w:lineRule="auto"/>
              <w:rPr>
                <w:rFonts w:ascii="Arial" w:hAnsi="Arial" w:cs="Arial"/>
                <w:sz w:val="24"/>
                <w:szCs w:val="24"/>
              </w:rPr>
            </w:pPr>
            <w:r w:rsidRPr="00421292">
              <w:rPr>
                <w:rFonts w:ascii="Arial" w:hAnsi="Arial" w:cs="Arial"/>
                <w:sz w:val="24"/>
                <w:szCs w:val="24"/>
              </w:rPr>
              <w:t xml:space="preserve">Good understanding of the political context at regional and local level and working with Elected Members in a constructive and sensitive way. </w:t>
            </w:r>
          </w:p>
          <w:p w14:paraId="3728FD51" w14:textId="2EC45F82" w:rsidR="009A4FE8" w:rsidRPr="00421292" w:rsidRDefault="00C466DF" w:rsidP="00C35F09">
            <w:pPr>
              <w:pStyle w:val="ListParagraph"/>
              <w:numPr>
                <w:ilvl w:val="0"/>
                <w:numId w:val="2"/>
              </w:numPr>
              <w:spacing w:after="0" w:line="240" w:lineRule="auto"/>
              <w:rPr>
                <w:rFonts w:ascii="Arial" w:hAnsi="Arial" w:cs="Arial"/>
                <w:sz w:val="24"/>
                <w:szCs w:val="24"/>
              </w:rPr>
            </w:pPr>
            <w:r w:rsidRPr="00421292">
              <w:rPr>
                <w:rFonts w:ascii="Arial" w:hAnsi="Arial" w:cs="Arial"/>
                <w:sz w:val="24"/>
                <w:szCs w:val="24"/>
              </w:rPr>
              <w:t>Successful financial management including prioritisation within decreasing resources.</w:t>
            </w:r>
          </w:p>
          <w:p w14:paraId="22738641" w14:textId="04220737" w:rsidR="006E31CC" w:rsidRPr="00421292" w:rsidRDefault="002158C6" w:rsidP="00C35F09">
            <w:pPr>
              <w:pStyle w:val="ListParagraph"/>
              <w:numPr>
                <w:ilvl w:val="0"/>
                <w:numId w:val="2"/>
              </w:numPr>
              <w:spacing w:after="0" w:line="240" w:lineRule="auto"/>
              <w:rPr>
                <w:rFonts w:ascii="Arial" w:hAnsi="Arial" w:cs="Arial"/>
                <w:sz w:val="24"/>
                <w:szCs w:val="24"/>
              </w:rPr>
            </w:pPr>
            <w:r>
              <w:rPr>
                <w:rFonts w:ascii="Arial" w:hAnsi="Arial" w:cs="Arial"/>
                <w:sz w:val="24"/>
                <w:szCs w:val="24"/>
              </w:rPr>
              <w:lastRenderedPageBreak/>
              <w:t>Proven leadership and management skills, with the ability to influence, motivate and support multidisciplinary teams and partners</w:t>
            </w:r>
            <w:r w:rsidR="004C25EF">
              <w:rPr>
                <w:rFonts w:ascii="Arial" w:hAnsi="Arial" w:cs="Arial"/>
                <w:sz w:val="24"/>
                <w:szCs w:val="24"/>
              </w:rPr>
              <w:t>.</w:t>
            </w:r>
          </w:p>
          <w:p w14:paraId="3DB1C905" w14:textId="6FA7AFE5" w:rsidR="006E31CC" w:rsidRPr="00421292" w:rsidRDefault="006E31CC" w:rsidP="00C35F09">
            <w:pPr>
              <w:pStyle w:val="ListParagraph"/>
              <w:numPr>
                <w:ilvl w:val="0"/>
                <w:numId w:val="2"/>
              </w:numPr>
              <w:spacing w:after="0" w:line="240" w:lineRule="auto"/>
              <w:rPr>
                <w:rFonts w:ascii="Arial" w:hAnsi="Arial" w:cs="Arial"/>
                <w:sz w:val="24"/>
                <w:szCs w:val="24"/>
              </w:rPr>
            </w:pPr>
            <w:r w:rsidRPr="00421292">
              <w:rPr>
                <w:rFonts w:ascii="Arial" w:hAnsi="Arial" w:cs="Arial"/>
                <w:sz w:val="24"/>
                <w:szCs w:val="24"/>
              </w:rPr>
              <w:t xml:space="preserve">Ability to quickly build credibility with senior managers and stakeholders. </w:t>
            </w:r>
          </w:p>
          <w:p w14:paraId="55801B85" w14:textId="2FE86722" w:rsidR="0087424C" w:rsidRPr="00421292" w:rsidRDefault="0087424C" w:rsidP="00A461F2">
            <w:pPr>
              <w:pStyle w:val="ListParagraph"/>
              <w:spacing w:after="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C35F09">
            <w:pPr>
              <w:pStyle w:val="ListParagraph"/>
              <w:numPr>
                <w:ilvl w:val="0"/>
                <w:numId w:val="2"/>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C35F09">
            <w:pPr>
              <w:pStyle w:val="ListParagraph"/>
              <w:numPr>
                <w:ilvl w:val="0"/>
                <w:numId w:val="2"/>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C35F09">
            <w:pPr>
              <w:pStyle w:val="ListParagraph"/>
              <w:numPr>
                <w:ilvl w:val="0"/>
                <w:numId w:val="2"/>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A21A9C3" w14:textId="0F1E1A20" w:rsidR="0087424C" w:rsidRPr="005F0153" w:rsidRDefault="0087424C" w:rsidP="00C35F09">
            <w:pPr>
              <w:pStyle w:val="ListParagraph"/>
              <w:numPr>
                <w:ilvl w:val="0"/>
                <w:numId w:val="2"/>
              </w:numPr>
              <w:spacing w:before="120" w:after="120" w:line="240" w:lineRule="auto"/>
              <w:rPr>
                <w:rFonts w:ascii="Arial" w:hAnsi="Arial" w:cs="Arial"/>
                <w:sz w:val="24"/>
                <w:szCs w:val="24"/>
              </w:rPr>
            </w:pPr>
            <w:r w:rsidRPr="005F0153">
              <w:rPr>
                <w:rFonts w:ascii="Arial" w:hAnsi="Arial" w:cs="Arial"/>
                <w:sz w:val="24"/>
                <w:szCs w:val="24"/>
              </w:rPr>
              <w:t>Thi</w:t>
            </w:r>
            <w:r w:rsidR="00933597" w:rsidRPr="005F0153">
              <w:rPr>
                <w:rFonts w:ascii="Arial" w:hAnsi="Arial" w:cs="Arial"/>
                <w:sz w:val="24"/>
                <w:szCs w:val="24"/>
              </w:rPr>
              <w:t>s is an essential car user post</w:t>
            </w:r>
            <w:r w:rsidRPr="005F0153">
              <w:rPr>
                <w:rFonts w:ascii="Arial" w:hAnsi="Arial" w:cs="Arial"/>
                <w:sz w:val="24"/>
                <w:szCs w:val="24"/>
              </w:rPr>
              <w:t xml:space="preserve">  </w:t>
            </w:r>
          </w:p>
          <w:p w14:paraId="387A7A3A" w14:textId="3E4313E0" w:rsidR="0087424C" w:rsidRPr="004D79B1" w:rsidRDefault="003C57AB" w:rsidP="00093214">
            <w:pPr>
              <w:pStyle w:val="ListParagraph"/>
              <w:spacing w:before="120" w:after="120"/>
              <w:ind w:left="360"/>
              <w:rPr>
                <w:rFonts w:ascii="Arial" w:hAnsi="Arial" w:cs="Arial"/>
                <w:i/>
                <w:sz w:val="24"/>
                <w:szCs w:val="24"/>
              </w:rPr>
            </w:pPr>
            <w:r w:rsidRPr="005F0153">
              <w:rPr>
                <w:rFonts w:ascii="Arial" w:hAnsi="Arial" w:cs="Arial"/>
                <w:i/>
                <w:sz w:val="24"/>
                <w:szCs w:val="24"/>
                <w:lang w:val="en"/>
              </w:rPr>
              <w:t xml:space="preserve">You will be required to provide a car for use in connection with the duties of this post and must be </w:t>
            </w:r>
            <w:proofErr w:type="gramStart"/>
            <w:r w:rsidRPr="005F0153">
              <w:rPr>
                <w:rFonts w:ascii="Arial" w:hAnsi="Arial" w:cs="Arial"/>
                <w:i/>
                <w:sz w:val="24"/>
                <w:szCs w:val="24"/>
                <w:lang w:val="en"/>
              </w:rPr>
              <w:t>insured</w:t>
            </w:r>
            <w:proofErr w:type="gramEnd"/>
            <w:r w:rsidRPr="005F0153">
              <w:rPr>
                <w:rFonts w:ascii="Arial" w:hAnsi="Arial" w:cs="Arial"/>
                <w:i/>
                <w:sz w:val="24"/>
                <w:szCs w:val="24"/>
                <w:lang w:val="en"/>
              </w:rPr>
              <w:t xml:space="preserve"> for business use</w:t>
            </w:r>
            <w:r w:rsidRPr="005F0153">
              <w:rPr>
                <w:rFonts w:ascii="Arial" w:hAnsi="Arial" w:cs="Arial"/>
                <w:sz w:val="18"/>
                <w:szCs w:val="18"/>
                <w:lang w:val="en"/>
              </w:rPr>
              <w:t xml:space="preserve">. </w:t>
            </w:r>
            <w:r w:rsidR="0087424C" w:rsidRPr="005F0153">
              <w:rPr>
                <w:rFonts w:ascii="Arial" w:hAnsi="Arial" w:cs="Arial"/>
                <w:i/>
                <w:sz w:val="24"/>
                <w:szCs w:val="24"/>
              </w:rPr>
              <w:t xml:space="preserve">In certain circumstances consideration may be given to applicants who, </w:t>
            </w:r>
            <w:proofErr w:type="gramStart"/>
            <w:r w:rsidR="0087424C" w:rsidRPr="005F0153">
              <w:rPr>
                <w:rFonts w:ascii="Arial" w:hAnsi="Arial" w:cs="Arial"/>
                <w:i/>
                <w:sz w:val="24"/>
                <w:szCs w:val="24"/>
              </w:rPr>
              <w:t>as a consequence of</w:t>
            </w:r>
            <w:proofErr w:type="gramEnd"/>
            <w:r w:rsidR="0087424C" w:rsidRPr="005F0153">
              <w:rPr>
                <w:rFonts w:ascii="Arial" w:hAnsi="Arial" w:cs="Arial"/>
                <w:i/>
                <w:sz w:val="24"/>
                <w:szCs w:val="24"/>
              </w:rPr>
              <w:t xml:space="preserve"> a disability,</w:t>
            </w:r>
            <w:r w:rsidR="00933597" w:rsidRPr="005F0153">
              <w:rPr>
                <w:rFonts w:ascii="Arial" w:hAnsi="Arial" w:cs="Arial"/>
                <w:i/>
                <w:sz w:val="24"/>
                <w:szCs w:val="24"/>
              </w:rPr>
              <w:t xml:space="preserve"> are unable to drive</w:t>
            </w:r>
          </w:p>
        </w:tc>
      </w:tr>
    </w:tbl>
    <w:p w14:paraId="6E840AC5" w14:textId="77777777" w:rsidR="0087424C" w:rsidRPr="00F511C1" w:rsidRDefault="0087424C" w:rsidP="0087424C">
      <w:pPr>
        <w:rPr>
          <w:rFonts w:ascii="Arial" w:hAnsi="Arial" w:cs="Arial"/>
          <w:sz w:val="24"/>
          <w:szCs w:val="24"/>
        </w:rPr>
      </w:pPr>
    </w:p>
    <w:sectPr w:rsidR="0087424C" w:rsidRPr="00F511C1" w:rsidSect="00F13C00">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B529" w14:textId="77777777" w:rsidR="00AC7B92" w:rsidRDefault="00AC7B92" w:rsidP="009373D4">
      <w:pPr>
        <w:spacing w:after="0" w:line="240" w:lineRule="auto"/>
      </w:pPr>
      <w:r>
        <w:separator/>
      </w:r>
    </w:p>
  </w:endnote>
  <w:endnote w:type="continuationSeparator" w:id="0">
    <w:p w14:paraId="3AF71CA1" w14:textId="77777777" w:rsidR="00AC7B92" w:rsidRDefault="00AC7B92"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D082" w14:textId="77777777" w:rsidR="00A07899" w:rsidRDefault="00A07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3E1E2AB3" w:rsidR="00944F09" w:rsidRPr="00883689" w:rsidRDefault="00A07899" w:rsidP="00944F09">
    <w:pPr>
      <w:pStyle w:val="Footer"/>
      <w:rPr>
        <w:rFonts w:ascii="Arial" w:hAnsi="Arial" w:cs="Arial"/>
        <w:sz w:val="20"/>
        <w:szCs w:val="20"/>
      </w:rPr>
    </w:pPr>
    <w:r>
      <w:rPr>
        <w:rFonts w:ascii="Arial" w:hAnsi="Arial" w:cs="Arial"/>
        <w:sz w:val="20"/>
        <w:szCs w:val="20"/>
      </w:rPr>
      <w:t>3 June 2026</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8C6F" w14:textId="77777777" w:rsidR="00A07899" w:rsidRDefault="00A07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D699" w14:textId="77777777" w:rsidR="00AC7B92" w:rsidRDefault="00AC7B92" w:rsidP="009373D4">
      <w:pPr>
        <w:spacing w:after="0" w:line="240" w:lineRule="auto"/>
      </w:pPr>
      <w:r>
        <w:separator/>
      </w:r>
    </w:p>
  </w:footnote>
  <w:footnote w:type="continuationSeparator" w:id="0">
    <w:p w14:paraId="6B1C52F0" w14:textId="77777777" w:rsidR="00AC7B92" w:rsidRDefault="00AC7B92"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3AB1" w14:textId="77777777" w:rsidR="00A07899" w:rsidRDefault="00A078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18A837BA">
      <w:tc>
        <w:tcPr>
          <w:tcW w:w="1985" w:type="dxa"/>
        </w:tcPr>
        <w:p w14:paraId="6DEBD431" w14:textId="77777777" w:rsidR="00883689" w:rsidRDefault="00883689" w:rsidP="00883689">
          <w:pPr>
            <w:pStyle w:val="Header"/>
          </w:pPr>
        </w:p>
      </w:tc>
      <w:tc>
        <w:tcPr>
          <w:tcW w:w="6804" w:type="dxa"/>
        </w:tcPr>
        <w:p w14:paraId="0B384DD8" w14:textId="4FA2E369" w:rsidR="00883689" w:rsidRPr="00904FB9" w:rsidRDefault="18A837BA" w:rsidP="18A837BA">
          <w:pPr>
            <w:pStyle w:val="Header"/>
            <w:spacing w:before="120" w:after="120"/>
            <w:jc w:val="center"/>
          </w:pPr>
          <w:r w:rsidRPr="18A837BA">
            <w:rPr>
              <w:rFonts w:ascii="Arial" w:hAnsi="Arial" w:cs="Arial"/>
              <w:b/>
              <w:bCs/>
              <w:color w:val="A50021"/>
              <w:sz w:val="28"/>
              <w:szCs w:val="28"/>
            </w:rPr>
            <w:t xml:space="preserve">Senior Commissioning Manager </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71EF" w14:textId="77777777" w:rsidR="00A07899" w:rsidRDefault="00A078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055FF1"/>
    <w:multiLevelType w:val="hybridMultilevel"/>
    <w:tmpl w:val="3DF8A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3C3D1E"/>
    <w:multiLevelType w:val="hybridMultilevel"/>
    <w:tmpl w:val="CDC6C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576094">
    <w:abstractNumId w:val="2"/>
  </w:num>
  <w:num w:numId="2" w16cid:durableId="363560435">
    <w:abstractNumId w:val="1"/>
  </w:num>
  <w:num w:numId="3" w16cid:durableId="1462067653">
    <w:abstractNumId w:val="0"/>
  </w:num>
  <w:num w:numId="4" w16cid:durableId="187553304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5393"/>
    <w:rsid w:val="00013C94"/>
    <w:rsid w:val="0002281C"/>
    <w:rsid w:val="0004487A"/>
    <w:rsid w:val="00057B4B"/>
    <w:rsid w:val="00065BA3"/>
    <w:rsid w:val="00077CAB"/>
    <w:rsid w:val="00081256"/>
    <w:rsid w:val="00084A65"/>
    <w:rsid w:val="00087C26"/>
    <w:rsid w:val="000909D4"/>
    <w:rsid w:val="00092AA1"/>
    <w:rsid w:val="00093214"/>
    <w:rsid w:val="000973F7"/>
    <w:rsid w:val="000A5544"/>
    <w:rsid w:val="000B0D04"/>
    <w:rsid w:val="000B5848"/>
    <w:rsid w:val="000C34AB"/>
    <w:rsid w:val="000C5D78"/>
    <w:rsid w:val="000D74C9"/>
    <w:rsid w:val="000E376A"/>
    <w:rsid w:val="000F7957"/>
    <w:rsid w:val="00103393"/>
    <w:rsid w:val="00114F49"/>
    <w:rsid w:val="001158A1"/>
    <w:rsid w:val="0012367F"/>
    <w:rsid w:val="00124D95"/>
    <w:rsid w:val="001263A2"/>
    <w:rsid w:val="00134ADE"/>
    <w:rsid w:val="0016227C"/>
    <w:rsid w:val="00167572"/>
    <w:rsid w:val="00173FCC"/>
    <w:rsid w:val="00184609"/>
    <w:rsid w:val="001A22AA"/>
    <w:rsid w:val="001A5E99"/>
    <w:rsid w:val="001A7954"/>
    <w:rsid w:val="001B2494"/>
    <w:rsid w:val="001D2C84"/>
    <w:rsid w:val="001E0052"/>
    <w:rsid w:val="001E1319"/>
    <w:rsid w:val="001E35C8"/>
    <w:rsid w:val="001F5F6B"/>
    <w:rsid w:val="002158C6"/>
    <w:rsid w:val="002210B5"/>
    <w:rsid w:val="002318EF"/>
    <w:rsid w:val="00232B12"/>
    <w:rsid w:val="00256580"/>
    <w:rsid w:val="00287140"/>
    <w:rsid w:val="00297AE6"/>
    <w:rsid w:val="002A2398"/>
    <w:rsid w:val="002C674A"/>
    <w:rsid w:val="002D03B5"/>
    <w:rsid w:val="002D61C2"/>
    <w:rsid w:val="002E0F8F"/>
    <w:rsid w:val="002E7FA3"/>
    <w:rsid w:val="002F69F4"/>
    <w:rsid w:val="003010A5"/>
    <w:rsid w:val="00304DDE"/>
    <w:rsid w:val="00306E01"/>
    <w:rsid w:val="00310F22"/>
    <w:rsid w:val="00314AE2"/>
    <w:rsid w:val="00316031"/>
    <w:rsid w:val="00335D08"/>
    <w:rsid w:val="003511DB"/>
    <w:rsid w:val="00356263"/>
    <w:rsid w:val="00364A47"/>
    <w:rsid w:val="003958D8"/>
    <w:rsid w:val="00396422"/>
    <w:rsid w:val="003A124E"/>
    <w:rsid w:val="003B3C18"/>
    <w:rsid w:val="003B5159"/>
    <w:rsid w:val="003C0B08"/>
    <w:rsid w:val="003C57AB"/>
    <w:rsid w:val="003D01A7"/>
    <w:rsid w:val="003D6C55"/>
    <w:rsid w:val="003E0AC5"/>
    <w:rsid w:val="003E16B3"/>
    <w:rsid w:val="003E6252"/>
    <w:rsid w:val="003E7A0E"/>
    <w:rsid w:val="00421292"/>
    <w:rsid w:val="0042788C"/>
    <w:rsid w:val="00431200"/>
    <w:rsid w:val="00436D06"/>
    <w:rsid w:val="0044492F"/>
    <w:rsid w:val="004458F0"/>
    <w:rsid w:val="00454521"/>
    <w:rsid w:val="00460A29"/>
    <w:rsid w:val="004719A7"/>
    <w:rsid w:val="00483CBF"/>
    <w:rsid w:val="0049033C"/>
    <w:rsid w:val="004A5AFB"/>
    <w:rsid w:val="004B7DF4"/>
    <w:rsid w:val="004C25EF"/>
    <w:rsid w:val="004D4776"/>
    <w:rsid w:val="004E0A78"/>
    <w:rsid w:val="004E7E0E"/>
    <w:rsid w:val="004F0FA5"/>
    <w:rsid w:val="004F1515"/>
    <w:rsid w:val="0050043B"/>
    <w:rsid w:val="00501B78"/>
    <w:rsid w:val="00534BB6"/>
    <w:rsid w:val="00536E13"/>
    <w:rsid w:val="00541941"/>
    <w:rsid w:val="00586E1C"/>
    <w:rsid w:val="00591802"/>
    <w:rsid w:val="005971BA"/>
    <w:rsid w:val="005A0127"/>
    <w:rsid w:val="005A5904"/>
    <w:rsid w:val="005B45FC"/>
    <w:rsid w:val="005C5B48"/>
    <w:rsid w:val="005D1F62"/>
    <w:rsid w:val="005D33DA"/>
    <w:rsid w:val="005D36B7"/>
    <w:rsid w:val="005E4780"/>
    <w:rsid w:val="005F0153"/>
    <w:rsid w:val="005F4737"/>
    <w:rsid w:val="006026D2"/>
    <w:rsid w:val="00605229"/>
    <w:rsid w:val="00613EA4"/>
    <w:rsid w:val="00625C17"/>
    <w:rsid w:val="00627BBB"/>
    <w:rsid w:val="00627F64"/>
    <w:rsid w:val="00645191"/>
    <w:rsid w:val="00686894"/>
    <w:rsid w:val="006B25CE"/>
    <w:rsid w:val="006B4C48"/>
    <w:rsid w:val="006B5443"/>
    <w:rsid w:val="006C050A"/>
    <w:rsid w:val="006D331F"/>
    <w:rsid w:val="006D46EA"/>
    <w:rsid w:val="006E31CC"/>
    <w:rsid w:val="006E4782"/>
    <w:rsid w:val="006F10A8"/>
    <w:rsid w:val="0070453D"/>
    <w:rsid w:val="007046BD"/>
    <w:rsid w:val="00707946"/>
    <w:rsid w:val="00707A73"/>
    <w:rsid w:val="0072181F"/>
    <w:rsid w:val="00725524"/>
    <w:rsid w:val="00725DAB"/>
    <w:rsid w:val="0073309C"/>
    <w:rsid w:val="007420E7"/>
    <w:rsid w:val="00746CF0"/>
    <w:rsid w:val="00782679"/>
    <w:rsid w:val="00783CD4"/>
    <w:rsid w:val="00784003"/>
    <w:rsid w:val="00787293"/>
    <w:rsid w:val="0079262E"/>
    <w:rsid w:val="00793C75"/>
    <w:rsid w:val="007A1733"/>
    <w:rsid w:val="007A1CCA"/>
    <w:rsid w:val="007A2612"/>
    <w:rsid w:val="007B562B"/>
    <w:rsid w:val="007C117F"/>
    <w:rsid w:val="007C5E21"/>
    <w:rsid w:val="007E00BB"/>
    <w:rsid w:val="00832780"/>
    <w:rsid w:val="00834218"/>
    <w:rsid w:val="0084226D"/>
    <w:rsid w:val="00854A68"/>
    <w:rsid w:val="00855E4C"/>
    <w:rsid w:val="0087424C"/>
    <w:rsid w:val="00877FD0"/>
    <w:rsid w:val="00883689"/>
    <w:rsid w:val="0088457C"/>
    <w:rsid w:val="00897E4C"/>
    <w:rsid w:val="008A4DD4"/>
    <w:rsid w:val="008A6083"/>
    <w:rsid w:val="008B38C2"/>
    <w:rsid w:val="008E50FB"/>
    <w:rsid w:val="008E6F52"/>
    <w:rsid w:val="008E779F"/>
    <w:rsid w:val="00913B3E"/>
    <w:rsid w:val="00924DF2"/>
    <w:rsid w:val="00933597"/>
    <w:rsid w:val="00936A7A"/>
    <w:rsid w:val="009373D4"/>
    <w:rsid w:val="00937F4E"/>
    <w:rsid w:val="00942209"/>
    <w:rsid w:val="00944F09"/>
    <w:rsid w:val="0094645D"/>
    <w:rsid w:val="00946AFC"/>
    <w:rsid w:val="00955CC9"/>
    <w:rsid w:val="00961889"/>
    <w:rsid w:val="00961964"/>
    <w:rsid w:val="00963600"/>
    <w:rsid w:val="0096440C"/>
    <w:rsid w:val="00964A52"/>
    <w:rsid w:val="00994A8A"/>
    <w:rsid w:val="009A03CF"/>
    <w:rsid w:val="009A0592"/>
    <w:rsid w:val="009A2E79"/>
    <w:rsid w:val="009A4FE8"/>
    <w:rsid w:val="009B6E64"/>
    <w:rsid w:val="009C122A"/>
    <w:rsid w:val="009C49D8"/>
    <w:rsid w:val="009D26C7"/>
    <w:rsid w:val="009D27FD"/>
    <w:rsid w:val="009E3FD9"/>
    <w:rsid w:val="009F478A"/>
    <w:rsid w:val="00A032B0"/>
    <w:rsid w:val="00A07899"/>
    <w:rsid w:val="00A14E73"/>
    <w:rsid w:val="00A24421"/>
    <w:rsid w:val="00A30D84"/>
    <w:rsid w:val="00A3706B"/>
    <w:rsid w:val="00A3778C"/>
    <w:rsid w:val="00A447BE"/>
    <w:rsid w:val="00A45726"/>
    <w:rsid w:val="00A461F2"/>
    <w:rsid w:val="00A54C31"/>
    <w:rsid w:val="00A62981"/>
    <w:rsid w:val="00A72A27"/>
    <w:rsid w:val="00A7451A"/>
    <w:rsid w:val="00A7579B"/>
    <w:rsid w:val="00A765D5"/>
    <w:rsid w:val="00A86C7F"/>
    <w:rsid w:val="00AA0B2A"/>
    <w:rsid w:val="00AB23DE"/>
    <w:rsid w:val="00AB377F"/>
    <w:rsid w:val="00AC6638"/>
    <w:rsid w:val="00AC68BE"/>
    <w:rsid w:val="00AC6D12"/>
    <w:rsid w:val="00AC7B92"/>
    <w:rsid w:val="00AE46B7"/>
    <w:rsid w:val="00AE6D61"/>
    <w:rsid w:val="00AF71DE"/>
    <w:rsid w:val="00B17ADE"/>
    <w:rsid w:val="00B21AD9"/>
    <w:rsid w:val="00B22CBB"/>
    <w:rsid w:val="00B3454A"/>
    <w:rsid w:val="00B370D2"/>
    <w:rsid w:val="00B45889"/>
    <w:rsid w:val="00B53E11"/>
    <w:rsid w:val="00B54BF9"/>
    <w:rsid w:val="00B80BCF"/>
    <w:rsid w:val="00B85B83"/>
    <w:rsid w:val="00B860A2"/>
    <w:rsid w:val="00BA35B8"/>
    <w:rsid w:val="00BA7FDC"/>
    <w:rsid w:val="00BC131C"/>
    <w:rsid w:val="00BC4B0A"/>
    <w:rsid w:val="00BC5C69"/>
    <w:rsid w:val="00BD1C6E"/>
    <w:rsid w:val="00BE2257"/>
    <w:rsid w:val="00BE7A35"/>
    <w:rsid w:val="00C111C2"/>
    <w:rsid w:val="00C26183"/>
    <w:rsid w:val="00C31061"/>
    <w:rsid w:val="00C312EC"/>
    <w:rsid w:val="00C31ED2"/>
    <w:rsid w:val="00C35F09"/>
    <w:rsid w:val="00C370BB"/>
    <w:rsid w:val="00C402B9"/>
    <w:rsid w:val="00C445CD"/>
    <w:rsid w:val="00C466DF"/>
    <w:rsid w:val="00C54F63"/>
    <w:rsid w:val="00C57047"/>
    <w:rsid w:val="00C62F7A"/>
    <w:rsid w:val="00C836C6"/>
    <w:rsid w:val="00C94A81"/>
    <w:rsid w:val="00C97F7F"/>
    <w:rsid w:val="00CB1F6F"/>
    <w:rsid w:val="00CB2D63"/>
    <w:rsid w:val="00CB4F7A"/>
    <w:rsid w:val="00CB5A66"/>
    <w:rsid w:val="00CC1A53"/>
    <w:rsid w:val="00CC31A1"/>
    <w:rsid w:val="00CC6993"/>
    <w:rsid w:val="00CE75E9"/>
    <w:rsid w:val="00CF02A2"/>
    <w:rsid w:val="00D03D79"/>
    <w:rsid w:val="00D14B3F"/>
    <w:rsid w:val="00D162D3"/>
    <w:rsid w:val="00D46FFD"/>
    <w:rsid w:val="00D5682A"/>
    <w:rsid w:val="00D56F48"/>
    <w:rsid w:val="00D64A7D"/>
    <w:rsid w:val="00D977B2"/>
    <w:rsid w:val="00DB2B00"/>
    <w:rsid w:val="00DC307E"/>
    <w:rsid w:val="00DC7117"/>
    <w:rsid w:val="00DC77BF"/>
    <w:rsid w:val="00DD21B3"/>
    <w:rsid w:val="00DD2431"/>
    <w:rsid w:val="00DD2DA6"/>
    <w:rsid w:val="00E039B8"/>
    <w:rsid w:val="00E113C7"/>
    <w:rsid w:val="00E15418"/>
    <w:rsid w:val="00E23551"/>
    <w:rsid w:val="00E33392"/>
    <w:rsid w:val="00E416FC"/>
    <w:rsid w:val="00E555CD"/>
    <w:rsid w:val="00E72733"/>
    <w:rsid w:val="00E751B0"/>
    <w:rsid w:val="00E75397"/>
    <w:rsid w:val="00E87044"/>
    <w:rsid w:val="00E92949"/>
    <w:rsid w:val="00E97F2A"/>
    <w:rsid w:val="00EB74C9"/>
    <w:rsid w:val="00EF7215"/>
    <w:rsid w:val="00F00014"/>
    <w:rsid w:val="00F13963"/>
    <w:rsid w:val="00F13C00"/>
    <w:rsid w:val="00F5215A"/>
    <w:rsid w:val="00F7556F"/>
    <w:rsid w:val="00F808CB"/>
    <w:rsid w:val="00F87D19"/>
    <w:rsid w:val="00F93830"/>
    <w:rsid w:val="00FA1EBA"/>
    <w:rsid w:val="00FA32A4"/>
    <w:rsid w:val="00FA4E3F"/>
    <w:rsid w:val="00FB6D25"/>
    <w:rsid w:val="00FB7534"/>
    <w:rsid w:val="00FB7BB1"/>
    <w:rsid w:val="00FC68D4"/>
    <w:rsid w:val="00FD0B09"/>
    <w:rsid w:val="00FD22EA"/>
    <w:rsid w:val="00FD696E"/>
    <w:rsid w:val="00FE2FD7"/>
    <w:rsid w:val="00FE49D6"/>
    <w:rsid w:val="00FF20BA"/>
    <w:rsid w:val="00FF3102"/>
    <w:rsid w:val="00FF78DF"/>
    <w:rsid w:val="18A83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8bb838b1aed607e510d2093f0436eaaf">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450f7fa2be8db747871a35da7fe879de"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4562A-5E02-4F4F-B9F5-81183B6BCBEF}">
  <ds:schemaRefs>
    <ds:schemaRef ds:uri="http://schemas.microsoft.com/sharepoint/v3/contenttype/forms"/>
  </ds:schemaRefs>
</ds:datastoreItem>
</file>

<file path=customXml/itemProps2.xml><?xml version="1.0" encoding="utf-8"?>
<ds:datastoreItem xmlns:ds="http://schemas.openxmlformats.org/officeDocument/2006/customXml" ds:itemID="{581B9177-4BD2-4DE2-BF71-EC6E8C85F717}">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customXml/itemProps3.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4.xml><?xml version="1.0" encoding="utf-8"?>
<ds:datastoreItem xmlns:ds="http://schemas.openxmlformats.org/officeDocument/2006/customXml" ds:itemID="{DE72EEA2-C81D-487F-8C2D-1696885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Carr, Dave</cp:lastModifiedBy>
  <cp:revision>6</cp:revision>
  <cp:lastPrinted>2026-04-08T12:33:00Z</cp:lastPrinted>
  <dcterms:created xsi:type="dcterms:W3CDTF">2026-06-03T15:29:00Z</dcterms:created>
  <dcterms:modified xsi:type="dcterms:W3CDTF">2026-06-03T15:35:00Z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y fmtid="{D5CDD505-2E9C-101B-9397-08002B2CF9AE}" pid="3" name="docLang">
    <vt:lpwstr>en</vt:lpwstr>
  </property>
  <property fmtid="{D5CDD505-2E9C-101B-9397-08002B2CF9AE}" pid="4" name="MediaServiceImageTags">
    <vt:lpwstr/>
  </property>
</Properties>
</file>