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2D6C8" w14:textId="77777777"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1BD69405" w14:textId="35965841" w:rsidR="00BE7A35" w:rsidRDefault="005F6352" w:rsidP="00BE7A35">
      <w:pPr>
        <w:spacing w:after="0"/>
        <w:jc w:val="center"/>
        <w:rPr>
          <w:rFonts w:ascii="Arial" w:hAnsi="Arial" w:cs="Arial"/>
          <w:b/>
          <w:sz w:val="28"/>
          <w:szCs w:val="28"/>
        </w:rPr>
      </w:pPr>
      <w:r>
        <w:rPr>
          <w:rFonts w:ascii="Arial" w:hAnsi="Arial" w:cs="Arial"/>
          <w:b/>
          <w:sz w:val="28"/>
          <w:szCs w:val="28"/>
        </w:rPr>
        <w:t xml:space="preserve">Early Help </w:t>
      </w:r>
      <w:r w:rsidR="00776E01">
        <w:rPr>
          <w:rFonts w:ascii="Arial" w:hAnsi="Arial" w:cs="Arial"/>
          <w:b/>
          <w:sz w:val="28"/>
          <w:szCs w:val="28"/>
        </w:rPr>
        <w:t>S</w:t>
      </w:r>
      <w:r w:rsidR="004A316D">
        <w:rPr>
          <w:rFonts w:ascii="Arial" w:hAnsi="Arial" w:cs="Arial"/>
          <w:b/>
          <w:sz w:val="28"/>
          <w:szCs w:val="28"/>
        </w:rPr>
        <w:t xml:space="preserve">upport </w:t>
      </w:r>
      <w:r w:rsidR="00776E01">
        <w:rPr>
          <w:rFonts w:ascii="Arial" w:hAnsi="Arial" w:cs="Arial"/>
          <w:b/>
          <w:sz w:val="28"/>
          <w:szCs w:val="28"/>
        </w:rPr>
        <w:t>W</w:t>
      </w:r>
      <w:r w:rsidR="004A316D">
        <w:rPr>
          <w:rFonts w:ascii="Arial" w:hAnsi="Arial" w:cs="Arial"/>
          <w:b/>
          <w:sz w:val="28"/>
          <w:szCs w:val="28"/>
        </w:rPr>
        <w:t>orker</w:t>
      </w:r>
      <w:r w:rsidR="00BE7A35">
        <w:rPr>
          <w:rFonts w:ascii="Arial" w:hAnsi="Arial" w:cs="Arial"/>
          <w:b/>
          <w:sz w:val="28"/>
          <w:szCs w:val="28"/>
        </w:rPr>
        <w:t xml:space="preserve"> (</w:t>
      </w:r>
      <w:r w:rsidR="00C35592">
        <w:rPr>
          <w:rFonts w:ascii="Arial" w:hAnsi="Arial" w:cs="Arial"/>
          <w:b/>
          <w:sz w:val="28"/>
          <w:szCs w:val="28"/>
        </w:rPr>
        <w:t>Children's Services Support Hub</w:t>
      </w:r>
      <w:r w:rsidR="00BE7A35">
        <w:rPr>
          <w:rFonts w:ascii="Arial" w:hAnsi="Arial" w:cs="Arial"/>
          <w:b/>
          <w:sz w:val="28"/>
          <w:szCs w:val="28"/>
        </w:rPr>
        <w:t>)</w:t>
      </w:r>
    </w:p>
    <w:p w14:paraId="11F943BC"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413"/>
        <w:gridCol w:w="3827"/>
        <w:gridCol w:w="1134"/>
        <w:gridCol w:w="992"/>
        <w:gridCol w:w="3396"/>
      </w:tblGrid>
      <w:tr w:rsidR="00BE7A35" w:rsidRPr="00BE7A35" w14:paraId="17F89BE9" w14:textId="77777777" w:rsidTr="1FA4911C">
        <w:tc>
          <w:tcPr>
            <w:tcW w:w="1413" w:type="dxa"/>
          </w:tcPr>
          <w:p w14:paraId="22A83474" w14:textId="77777777" w:rsidR="00BE7A35" w:rsidRPr="00BE7A35" w:rsidRDefault="00BE7A35" w:rsidP="00BE7A35">
            <w:pPr>
              <w:spacing w:after="0"/>
              <w:rPr>
                <w:rFonts w:ascii="Arial" w:hAnsi="Arial" w:cs="Arial"/>
                <w:b/>
                <w:sz w:val="24"/>
                <w:szCs w:val="24"/>
              </w:rPr>
            </w:pPr>
            <w:r w:rsidRPr="00BE7A35">
              <w:rPr>
                <w:rFonts w:ascii="Arial" w:hAnsi="Arial" w:cs="Arial"/>
                <w:b/>
                <w:sz w:val="24"/>
                <w:szCs w:val="24"/>
              </w:rPr>
              <w:t>Service:</w:t>
            </w:r>
          </w:p>
        </w:tc>
        <w:tc>
          <w:tcPr>
            <w:tcW w:w="3827" w:type="dxa"/>
          </w:tcPr>
          <w:p w14:paraId="29F0FF9D" w14:textId="03FAD661" w:rsidR="00BE7A35" w:rsidRPr="00BE7A35" w:rsidRDefault="00A80095" w:rsidP="00BE7A35">
            <w:pPr>
              <w:spacing w:after="0"/>
              <w:rPr>
                <w:rFonts w:ascii="Arial" w:hAnsi="Arial" w:cs="Arial"/>
                <w:sz w:val="24"/>
                <w:szCs w:val="24"/>
              </w:rPr>
            </w:pPr>
            <w:r>
              <w:rPr>
                <w:rFonts w:ascii="Arial" w:hAnsi="Arial" w:cs="Arial"/>
                <w:sz w:val="24"/>
                <w:szCs w:val="24"/>
              </w:rPr>
              <w:t>Children Services</w:t>
            </w:r>
          </w:p>
        </w:tc>
        <w:tc>
          <w:tcPr>
            <w:tcW w:w="1134" w:type="dxa"/>
          </w:tcPr>
          <w:p w14:paraId="1D8AE9BA" w14:textId="77777777" w:rsidR="00BE7A35" w:rsidRPr="00BE7A35" w:rsidRDefault="00BE7A35" w:rsidP="00BE7A35">
            <w:pPr>
              <w:spacing w:after="0"/>
              <w:rPr>
                <w:rFonts w:ascii="Arial" w:hAnsi="Arial" w:cs="Arial"/>
                <w:b/>
                <w:sz w:val="24"/>
                <w:szCs w:val="24"/>
              </w:rPr>
            </w:pPr>
            <w:r>
              <w:rPr>
                <w:rFonts w:ascii="Arial" w:hAnsi="Arial" w:cs="Arial"/>
                <w:b/>
                <w:sz w:val="24"/>
                <w:szCs w:val="24"/>
              </w:rPr>
              <w:t>Team</w:t>
            </w:r>
            <w:r w:rsidRPr="00BE7A35">
              <w:rPr>
                <w:rFonts w:ascii="Arial" w:hAnsi="Arial" w:cs="Arial"/>
                <w:b/>
                <w:sz w:val="24"/>
                <w:szCs w:val="24"/>
              </w:rPr>
              <w:t>:</w:t>
            </w:r>
          </w:p>
        </w:tc>
        <w:tc>
          <w:tcPr>
            <w:tcW w:w="4388" w:type="dxa"/>
            <w:gridSpan w:val="2"/>
          </w:tcPr>
          <w:p w14:paraId="7535472E" w14:textId="302DCB63" w:rsidR="00BE7A35" w:rsidRPr="00BE7A35" w:rsidRDefault="00C35592" w:rsidP="00BE7A35">
            <w:pPr>
              <w:spacing w:after="0"/>
              <w:rPr>
                <w:rFonts w:ascii="Arial" w:hAnsi="Arial" w:cs="Arial"/>
                <w:i/>
                <w:sz w:val="24"/>
                <w:szCs w:val="24"/>
              </w:rPr>
            </w:pPr>
            <w:r>
              <w:rPr>
                <w:rFonts w:ascii="Arial" w:hAnsi="Arial" w:cs="Arial"/>
                <w:i/>
                <w:sz w:val="24"/>
                <w:szCs w:val="24"/>
              </w:rPr>
              <w:t>Children's Services Support Hub</w:t>
            </w:r>
          </w:p>
        </w:tc>
      </w:tr>
      <w:tr w:rsidR="00BE7A35" w:rsidRPr="00BE7A35" w14:paraId="282AE09F" w14:textId="77777777" w:rsidTr="1FA4911C">
        <w:tc>
          <w:tcPr>
            <w:tcW w:w="1413" w:type="dxa"/>
          </w:tcPr>
          <w:p w14:paraId="3781F836" w14:textId="77777777" w:rsidR="00BE7A35" w:rsidRPr="00BE7A35" w:rsidRDefault="00BE7A35"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3827" w:type="dxa"/>
          </w:tcPr>
          <w:p w14:paraId="101BFCCC" w14:textId="77777777" w:rsidR="00BE7A35" w:rsidRPr="00BE7A35" w:rsidRDefault="00E74F9E" w:rsidP="005E7B78">
            <w:pPr>
              <w:spacing w:after="0"/>
              <w:rPr>
                <w:rFonts w:ascii="Arial" w:hAnsi="Arial" w:cs="Arial"/>
                <w:i/>
                <w:sz w:val="24"/>
                <w:szCs w:val="24"/>
              </w:rPr>
            </w:pPr>
            <w:r>
              <w:rPr>
                <w:rFonts w:ascii="Arial" w:hAnsi="Arial" w:cs="Arial"/>
                <w:i/>
                <w:sz w:val="24"/>
                <w:szCs w:val="24"/>
              </w:rPr>
              <w:t>Across Lancashire</w:t>
            </w:r>
          </w:p>
        </w:tc>
        <w:tc>
          <w:tcPr>
            <w:tcW w:w="2126" w:type="dxa"/>
            <w:gridSpan w:val="2"/>
          </w:tcPr>
          <w:p w14:paraId="1CBDD509" w14:textId="77777777" w:rsidR="00BE7A35" w:rsidRPr="00BE7A35" w:rsidRDefault="00BE7A35" w:rsidP="005E7B78">
            <w:pPr>
              <w:spacing w:after="0"/>
              <w:rPr>
                <w:rFonts w:ascii="Arial" w:hAnsi="Arial" w:cs="Arial"/>
                <w:b/>
                <w:sz w:val="24"/>
                <w:szCs w:val="24"/>
              </w:rPr>
            </w:pPr>
            <w:r>
              <w:rPr>
                <w:rFonts w:ascii="Arial" w:hAnsi="Arial" w:cs="Arial"/>
                <w:b/>
                <w:sz w:val="24"/>
                <w:szCs w:val="24"/>
              </w:rPr>
              <w:t>Post number/s</w:t>
            </w:r>
            <w:r w:rsidRPr="00BE7A35">
              <w:rPr>
                <w:rFonts w:ascii="Arial" w:hAnsi="Arial" w:cs="Arial"/>
                <w:b/>
                <w:sz w:val="24"/>
                <w:szCs w:val="24"/>
              </w:rPr>
              <w:t>:</w:t>
            </w:r>
          </w:p>
        </w:tc>
        <w:tc>
          <w:tcPr>
            <w:tcW w:w="3396" w:type="dxa"/>
          </w:tcPr>
          <w:p w14:paraId="39A27337" w14:textId="77777777" w:rsidR="00BE7A35" w:rsidRPr="00BE7A35" w:rsidRDefault="00E74F9E" w:rsidP="005E7B78">
            <w:pPr>
              <w:spacing w:after="0"/>
              <w:rPr>
                <w:rFonts w:ascii="Arial" w:hAnsi="Arial" w:cs="Arial"/>
                <w:i/>
                <w:sz w:val="24"/>
                <w:szCs w:val="24"/>
              </w:rPr>
            </w:pPr>
            <w:r>
              <w:rPr>
                <w:rFonts w:ascii="Arial" w:hAnsi="Arial" w:cs="Arial"/>
                <w:i/>
                <w:sz w:val="24"/>
                <w:szCs w:val="24"/>
              </w:rPr>
              <w:t>N/A</w:t>
            </w:r>
          </w:p>
        </w:tc>
      </w:tr>
      <w:tr w:rsidR="003C57AB" w:rsidRPr="00BE7A35" w14:paraId="62F5E2AD" w14:textId="77777777" w:rsidTr="1FA4911C">
        <w:tc>
          <w:tcPr>
            <w:tcW w:w="1413" w:type="dxa"/>
          </w:tcPr>
          <w:p w14:paraId="0FF7ECDC" w14:textId="77777777" w:rsidR="003C57AB" w:rsidRPr="00BE7A35" w:rsidRDefault="003C57AB" w:rsidP="003C57AB">
            <w:pPr>
              <w:spacing w:after="0"/>
              <w:rPr>
                <w:rFonts w:ascii="Arial" w:hAnsi="Arial" w:cs="Arial"/>
                <w:b/>
                <w:sz w:val="24"/>
                <w:szCs w:val="24"/>
              </w:rPr>
            </w:pPr>
            <w:r>
              <w:rPr>
                <w:rFonts w:ascii="Arial" w:hAnsi="Arial" w:cs="Arial"/>
                <w:b/>
                <w:sz w:val="24"/>
                <w:szCs w:val="24"/>
              </w:rPr>
              <w:t>Salary</w:t>
            </w:r>
          </w:p>
        </w:tc>
        <w:tc>
          <w:tcPr>
            <w:tcW w:w="3827" w:type="dxa"/>
          </w:tcPr>
          <w:p w14:paraId="35467722" w14:textId="4FEBBA72" w:rsidR="005F6352" w:rsidRDefault="6485F8F0" w:rsidP="1FA4911C">
            <w:pPr>
              <w:spacing w:after="0"/>
              <w:rPr>
                <w:rFonts w:ascii="Segoe UI" w:eastAsia="Segoe UI" w:hAnsi="Segoe UI" w:cs="Segoe UI"/>
                <w:sz w:val="24"/>
                <w:szCs w:val="24"/>
              </w:rPr>
            </w:pPr>
            <w:r>
              <w:rPr>
                <w:rFonts w:ascii="Roboto" w:hAnsi="Roboto"/>
                <w:color w:val="212529"/>
                <w:shd w:val="clear" w:color="auto" w:fill="FFFFFF"/>
              </w:rPr>
              <w:t xml:space="preserve">SCP 11 </w:t>
            </w:r>
            <w:r w:rsidRPr="1FA4911C">
              <w:rPr>
                <w:rFonts w:ascii="Segoe UI" w:eastAsia="Segoe UI" w:hAnsi="Segoe UI" w:cs="Segoe UI"/>
                <w:color w:val="323130"/>
                <w:sz w:val="24"/>
                <w:szCs w:val="24"/>
              </w:rPr>
              <w:t>£28,142 - £32,061</w:t>
            </w:r>
          </w:p>
          <w:p w14:paraId="195919F0" w14:textId="77777777" w:rsidR="004A6335" w:rsidRPr="00BE7A35" w:rsidRDefault="004A6335" w:rsidP="005F6352">
            <w:pPr>
              <w:spacing w:after="0"/>
              <w:rPr>
                <w:rFonts w:ascii="Arial" w:hAnsi="Arial" w:cs="Arial"/>
                <w:i/>
                <w:sz w:val="24"/>
                <w:szCs w:val="24"/>
              </w:rPr>
            </w:pPr>
          </w:p>
          <w:p w14:paraId="6B552A91" w14:textId="458266B8" w:rsidR="003C57AB" w:rsidRPr="00BE7A35" w:rsidRDefault="003C57AB" w:rsidP="00FF6E4F">
            <w:pPr>
              <w:spacing w:after="0"/>
              <w:rPr>
                <w:rFonts w:ascii="Arial" w:hAnsi="Arial" w:cs="Arial"/>
                <w:i/>
                <w:sz w:val="24"/>
                <w:szCs w:val="24"/>
              </w:rPr>
            </w:pPr>
          </w:p>
        </w:tc>
        <w:tc>
          <w:tcPr>
            <w:tcW w:w="2126" w:type="dxa"/>
            <w:gridSpan w:val="2"/>
          </w:tcPr>
          <w:p w14:paraId="3D4EE700" w14:textId="77777777" w:rsidR="003C57AB" w:rsidRPr="00BE7A35" w:rsidRDefault="003C57AB" w:rsidP="003C57AB">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p>
        </w:tc>
        <w:tc>
          <w:tcPr>
            <w:tcW w:w="3396" w:type="dxa"/>
          </w:tcPr>
          <w:p w14:paraId="1700BB40" w14:textId="59FEACDE" w:rsidR="005F6352" w:rsidRPr="00BE7A35" w:rsidRDefault="004A316D" w:rsidP="005F6352">
            <w:pPr>
              <w:spacing w:after="0"/>
              <w:rPr>
                <w:rFonts w:ascii="Arial" w:hAnsi="Arial" w:cs="Arial"/>
                <w:sz w:val="24"/>
                <w:szCs w:val="24"/>
              </w:rPr>
            </w:pPr>
            <w:r>
              <w:rPr>
                <w:rFonts w:ascii="Arial" w:hAnsi="Arial" w:cs="Arial"/>
                <w:sz w:val="24"/>
                <w:szCs w:val="24"/>
              </w:rPr>
              <w:t>6</w:t>
            </w:r>
          </w:p>
          <w:p w14:paraId="121C4E56" w14:textId="182B1591" w:rsidR="003C57AB" w:rsidRPr="00BE7A35" w:rsidRDefault="003C57AB" w:rsidP="003C57AB">
            <w:pPr>
              <w:spacing w:after="0"/>
              <w:rPr>
                <w:rFonts w:ascii="Arial" w:hAnsi="Arial" w:cs="Arial"/>
                <w:sz w:val="24"/>
                <w:szCs w:val="24"/>
              </w:rPr>
            </w:pPr>
          </w:p>
        </w:tc>
      </w:tr>
      <w:tr w:rsidR="003C57AB" w:rsidRPr="00BE7A35" w14:paraId="4C6835E3" w14:textId="77777777" w:rsidTr="1FA4911C">
        <w:tc>
          <w:tcPr>
            <w:tcW w:w="1413" w:type="dxa"/>
          </w:tcPr>
          <w:p w14:paraId="0E05F1D9" w14:textId="77777777"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827" w:type="dxa"/>
          </w:tcPr>
          <w:p w14:paraId="151BD3FF" w14:textId="77777777" w:rsidR="003C57AB" w:rsidRPr="00BE7A35" w:rsidRDefault="003C57AB" w:rsidP="003C57AB">
            <w:pPr>
              <w:spacing w:after="0"/>
              <w:rPr>
                <w:rFonts w:ascii="Arial" w:hAnsi="Arial" w:cs="Arial"/>
                <w:i/>
                <w:sz w:val="24"/>
                <w:szCs w:val="24"/>
              </w:rPr>
            </w:pPr>
            <w:r>
              <w:rPr>
                <w:rFonts w:ascii="Arial" w:hAnsi="Arial" w:cs="Arial"/>
                <w:sz w:val="24"/>
                <w:szCs w:val="24"/>
              </w:rPr>
              <w:t>Team Manager/Practice Manager</w:t>
            </w:r>
          </w:p>
        </w:tc>
        <w:tc>
          <w:tcPr>
            <w:tcW w:w="2126" w:type="dxa"/>
            <w:gridSpan w:val="2"/>
          </w:tcPr>
          <w:p w14:paraId="67A0A005" w14:textId="77777777"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3396" w:type="dxa"/>
          </w:tcPr>
          <w:p w14:paraId="1827DD79" w14:textId="77777777" w:rsidR="003C57AB" w:rsidRPr="00BE7A35" w:rsidRDefault="003C57AB" w:rsidP="003C57AB">
            <w:pPr>
              <w:spacing w:after="0"/>
              <w:rPr>
                <w:rFonts w:ascii="Arial" w:hAnsi="Arial" w:cs="Arial"/>
                <w:sz w:val="24"/>
                <w:szCs w:val="24"/>
              </w:rPr>
            </w:pPr>
            <w:r>
              <w:rPr>
                <w:rFonts w:ascii="Arial" w:hAnsi="Arial" w:cs="Arial"/>
                <w:sz w:val="24"/>
                <w:szCs w:val="24"/>
              </w:rPr>
              <w:t>None</w:t>
            </w:r>
          </w:p>
        </w:tc>
      </w:tr>
    </w:tbl>
    <w:p w14:paraId="54E811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7DC79B3B" w14:textId="77777777" w:rsidTr="1FA4911C">
        <w:tc>
          <w:tcPr>
            <w:tcW w:w="10773" w:type="dxa"/>
          </w:tcPr>
          <w:p w14:paraId="65F4DCCD" w14:textId="77777777" w:rsidR="006F10A8" w:rsidRDefault="006F10A8" w:rsidP="00855E4C">
            <w:pPr>
              <w:spacing w:before="120" w:after="120" w:line="240" w:lineRule="auto"/>
              <w:rPr>
                <w:rFonts w:ascii="Arial" w:hAnsi="Arial" w:cs="Arial"/>
                <w:b/>
                <w:sz w:val="24"/>
                <w:szCs w:val="24"/>
              </w:rPr>
            </w:pPr>
            <w:r>
              <w:rPr>
                <w:rFonts w:ascii="Arial" w:hAnsi="Arial" w:cs="Arial"/>
                <w:b/>
                <w:sz w:val="24"/>
                <w:szCs w:val="24"/>
              </w:rPr>
              <w:t>Job Purpose</w:t>
            </w:r>
          </w:p>
        </w:tc>
      </w:tr>
      <w:tr w:rsidR="002D03B5" w:rsidRPr="00784003" w14:paraId="12A8D0CB" w14:textId="77777777" w:rsidTr="1FA4911C">
        <w:tc>
          <w:tcPr>
            <w:tcW w:w="10773" w:type="dxa"/>
          </w:tcPr>
          <w:p w14:paraId="6C0417DA" w14:textId="77777777" w:rsidR="00B46910" w:rsidRDefault="00B46910" w:rsidP="00FE58CC">
            <w:pPr>
              <w:tabs>
                <w:tab w:val="left" w:pos="720"/>
              </w:tabs>
              <w:spacing w:after="0" w:line="240" w:lineRule="auto"/>
              <w:jc w:val="both"/>
              <w:rPr>
                <w:rFonts w:ascii="Arial" w:hAnsi="Arial"/>
                <w:sz w:val="24"/>
                <w:szCs w:val="24"/>
              </w:rPr>
            </w:pPr>
          </w:p>
          <w:p w14:paraId="7393737B" w14:textId="7792B845" w:rsidR="00FA1EBA" w:rsidRDefault="00D64A7D" w:rsidP="00FE58CC">
            <w:pPr>
              <w:tabs>
                <w:tab w:val="left" w:pos="720"/>
              </w:tabs>
              <w:spacing w:after="0" w:line="240" w:lineRule="auto"/>
              <w:jc w:val="both"/>
              <w:rPr>
                <w:rFonts w:ascii="Arial" w:hAnsi="Arial"/>
                <w:sz w:val="24"/>
                <w:szCs w:val="24"/>
              </w:rPr>
            </w:pPr>
            <w:r>
              <w:rPr>
                <w:rFonts w:ascii="Arial" w:hAnsi="Arial"/>
                <w:sz w:val="24"/>
                <w:szCs w:val="24"/>
              </w:rPr>
              <w:t>Achieving the best outcomes for children and young people in Lancashire.  K</w:t>
            </w:r>
            <w:r w:rsidR="00FA1EBA">
              <w:rPr>
                <w:rFonts w:ascii="Arial" w:hAnsi="Arial"/>
                <w:sz w:val="24"/>
                <w:szCs w:val="24"/>
              </w:rPr>
              <w:t>eep</w:t>
            </w:r>
            <w:r>
              <w:rPr>
                <w:rFonts w:ascii="Arial" w:hAnsi="Arial"/>
                <w:sz w:val="24"/>
                <w:szCs w:val="24"/>
              </w:rPr>
              <w:t>ing</w:t>
            </w:r>
            <w:r w:rsidR="00FA1EBA">
              <w:rPr>
                <w:rFonts w:ascii="Arial" w:hAnsi="Arial"/>
                <w:sz w:val="24"/>
                <w:szCs w:val="24"/>
              </w:rPr>
              <w:t xml:space="preserve"> children</w:t>
            </w:r>
            <w:r>
              <w:rPr>
                <w:rFonts w:ascii="Arial" w:hAnsi="Arial"/>
                <w:sz w:val="24"/>
                <w:szCs w:val="24"/>
              </w:rPr>
              <w:t xml:space="preserve"> and young people</w:t>
            </w:r>
            <w:r w:rsidR="00FA1EBA">
              <w:rPr>
                <w:rFonts w:ascii="Arial" w:hAnsi="Arial"/>
                <w:sz w:val="24"/>
                <w:szCs w:val="24"/>
              </w:rPr>
              <w:t xml:space="preserve"> safe and protected from harm</w:t>
            </w:r>
            <w:r>
              <w:rPr>
                <w:rFonts w:ascii="Arial" w:hAnsi="Arial"/>
                <w:sz w:val="24"/>
                <w:szCs w:val="24"/>
              </w:rPr>
              <w:t xml:space="preserve">, </w:t>
            </w:r>
          </w:p>
          <w:p w14:paraId="7AC22181" w14:textId="21C91426" w:rsidR="00FA1EBA" w:rsidRDefault="00D64A7D" w:rsidP="00FE58CC">
            <w:pPr>
              <w:tabs>
                <w:tab w:val="left" w:pos="720"/>
              </w:tabs>
              <w:spacing w:after="0" w:line="240" w:lineRule="auto"/>
              <w:jc w:val="both"/>
              <w:rPr>
                <w:rFonts w:ascii="Arial" w:hAnsi="Arial"/>
                <w:sz w:val="24"/>
                <w:szCs w:val="24"/>
              </w:rPr>
            </w:pPr>
            <w:r>
              <w:rPr>
                <w:rFonts w:ascii="Arial" w:hAnsi="Arial"/>
                <w:sz w:val="24"/>
                <w:szCs w:val="24"/>
              </w:rPr>
              <w:t>W</w:t>
            </w:r>
            <w:r w:rsidR="00FA1EBA">
              <w:rPr>
                <w:rFonts w:ascii="Arial" w:hAnsi="Arial"/>
                <w:sz w:val="24"/>
                <w:szCs w:val="24"/>
              </w:rPr>
              <w:t>ork</w:t>
            </w:r>
            <w:r>
              <w:rPr>
                <w:rFonts w:ascii="Arial" w:hAnsi="Arial"/>
                <w:sz w:val="24"/>
                <w:szCs w:val="24"/>
              </w:rPr>
              <w:t>ing</w:t>
            </w:r>
            <w:r w:rsidR="00FA1EBA">
              <w:rPr>
                <w:rFonts w:ascii="Arial" w:hAnsi="Arial"/>
                <w:sz w:val="24"/>
                <w:szCs w:val="24"/>
              </w:rPr>
              <w:t xml:space="preserve"> with partners to provide a professional </w:t>
            </w:r>
            <w:r w:rsidR="00592405">
              <w:rPr>
                <w:rFonts w:ascii="Arial" w:hAnsi="Arial"/>
                <w:sz w:val="24"/>
                <w:szCs w:val="24"/>
              </w:rPr>
              <w:t xml:space="preserve">multi agency </w:t>
            </w:r>
            <w:r w:rsidR="00FA1EBA">
              <w:rPr>
                <w:rFonts w:ascii="Arial" w:hAnsi="Arial"/>
                <w:sz w:val="24"/>
                <w:szCs w:val="24"/>
              </w:rPr>
              <w:t xml:space="preserve">response and continuously </w:t>
            </w:r>
            <w:r w:rsidR="00592405">
              <w:rPr>
                <w:rFonts w:ascii="Arial" w:hAnsi="Arial"/>
                <w:sz w:val="24"/>
                <w:szCs w:val="24"/>
              </w:rPr>
              <w:t xml:space="preserve">strive to </w:t>
            </w:r>
            <w:r w:rsidR="00FA1EBA">
              <w:rPr>
                <w:rFonts w:ascii="Arial" w:hAnsi="Arial"/>
                <w:sz w:val="24"/>
                <w:szCs w:val="24"/>
              </w:rPr>
              <w:t>improve the life of all children and young people in Lancashire.</w:t>
            </w:r>
          </w:p>
          <w:p w14:paraId="3A16AB61" w14:textId="12B97D36" w:rsidR="00592405" w:rsidRDefault="00592405" w:rsidP="00FE58CC">
            <w:pPr>
              <w:tabs>
                <w:tab w:val="left" w:pos="720"/>
              </w:tabs>
              <w:spacing w:after="0" w:line="240" w:lineRule="auto"/>
              <w:jc w:val="both"/>
              <w:rPr>
                <w:rFonts w:ascii="Arial" w:hAnsi="Arial"/>
                <w:sz w:val="24"/>
                <w:szCs w:val="24"/>
              </w:rPr>
            </w:pPr>
          </w:p>
          <w:p w14:paraId="71053357" w14:textId="1883A62B" w:rsidR="00592405" w:rsidRDefault="00592405" w:rsidP="00FE58CC">
            <w:pPr>
              <w:tabs>
                <w:tab w:val="left" w:pos="720"/>
              </w:tabs>
              <w:spacing w:after="0" w:line="240" w:lineRule="auto"/>
              <w:jc w:val="both"/>
              <w:rPr>
                <w:rFonts w:ascii="Arial" w:hAnsi="Arial"/>
                <w:sz w:val="24"/>
                <w:szCs w:val="24"/>
              </w:rPr>
            </w:pPr>
            <w:r>
              <w:rPr>
                <w:rFonts w:ascii="Arial" w:hAnsi="Arial"/>
                <w:sz w:val="24"/>
                <w:szCs w:val="24"/>
              </w:rPr>
              <w:t xml:space="preserve">To be part of a multi- agency team. These posts will be based in </w:t>
            </w:r>
            <w:r w:rsidR="00C35592">
              <w:rPr>
                <w:rFonts w:ascii="Arial" w:hAnsi="Arial"/>
                <w:sz w:val="24"/>
                <w:szCs w:val="24"/>
              </w:rPr>
              <w:t xml:space="preserve">the Children's Services Support Hub </w:t>
            </w:r>
            <w:r>
              <w:rPr>
                <w:rFonts w:ascii="Arial" w:hAnsi="Arial"/>
                <w:sz w:val="24"/>
                <w:szCs w:val="24"/>
              </w:rPr>
              <w:t>covering the entire Lancashire footprint.</w:t>
            </w:r>
          </w:p>
          <w:p w14:paraId="31272F7E" w14:textId="2CF01985" w:rsidR="00FA134C" w:rsidRDefault="00FA134C" w:rsidP="00FE58CC">
            <w:pPr>
              <w:tabs>
                <w:tab w:val="left" w:pos="720"/>
              </w:tabs>
              <w:spacing w:after="0" w:line="240" w:lineRule="auto"/>
              <w:jc w:val="both"/>
              <w:rPr>
                <w:rFonts w:ascii="Arial" w:hAnsi="Arial"/>
                <w:sz w:val="24"/>
                <w:szCs w:val="24"/>
              </w:rPr>
            </w:pPr>
            <w:r>
              <w:rPr>
                <w:rFonts w:ascii="Arial" w:hAnsi="Arial"/>
                <w:sz w:val="24"/>
                <w:szCs w:val="24"/>
              </w:rPr>
              <w:t>Reporting to the relevant</w:t>
            </w:r>
            <w:r w:rsidR="0034427B">
              <w:rPr>
                <w:rFonts w:ascii="Arial" w:hAnsi="Arial"/>
                <w:sz w:val="24"/>
                <w:szCs w:val="24"/>
              </w:rPr>
              <w:t xml:space="preserve"> Early Help Social Workers</w:t>
            </w:r>
            <w:r>
              <w:rPr>
                <w:rFonts w:ascii="Arial" w:hAnsi="Arial"/>
                <w:sz w:val="24"/>
                <w:szCs w:val="24"/>
              </w:rPr>
              <w:t xml:space="preserve">, post holders will work in partnership with other agencies within the </w:t>
            </w:r>
            <w:r w:rsidR="00C35592">
              <w:rPr>
                <w:rFonts w:ascii="Arial" w:hAnsi="Arial"/>
                <w:sz w:val="24"/>
                <w:szCs w:val="24"/>
              </w:rPr>
              <w:t xml:space="preserve">Hub </w:t>
            </w:r>
            <w:r>
              <w:rPr>
                <w:rFonts w:ascii="Arial" w:hAnsi="Arial"/>
                <w:sz w:val="24"/>
                <w:szCs w:val="24"/>
              </w:rPr>
              <w:t xml:space="preserve">and wider early help service to provide a </w:t>
            </w:r>
            <w:r w:rsidR="00BB2601">
              <w:rPr>
                <w:rFonts w:ascii="Arial" w:hAnsi="Arial"/>
                <w:sz w:val="24"/>
                <w:szCs w:val="24"/>
              </w:rPr>
              <w:t>personalised, whole</w:t>
            </w:r>
            <w:r>
              <w:rPr>
                <w:rFonts w:ascii="Arial" w:hAnsi="Arial"/>
                <w:sz w:val="24"/>
                <w:szCs w:val="24"/>
              </w:rPr>
              <w:t xml:space="preserve"> family focussed response to meeting the unmet needs of children, young people and families</w:t>
            </w:r>
          </w:p>
          <w:p w14:paraId="38AF0677" w14:textId="2D97D80D" w:rsidR="00592405" w:rsidRDefault="00592405" w:rsidP="00FE58CC">
            <w:pPr>
              <w:tabs>
                <w:tab w:val="left" w:pos="720"/>
              </w:tabs>
              <w:spacing w:after="0" w:line="240" w:lineRule="auto"/>
              <w:jc w:val="both"/>
              <w:rPr>
                <w:rFonts w:ascii="Arial" w:hAnsi="Arial"/>
                <w:sz w:val="24"/>
                <w:szCs w:val="24"/>
              </w:rPr>
            </w:pPr>
          </w:p>
          <w:p w14:paraId="354835E0" w14:textId="0A0209C9" w:rsidR="00592405" w:rsidRDefault="00592405" w:rsidP="00FE58CC">
            <w:pPr>
              <w:tabs>
                <w:tab w:val="left" w:pos="720"/>
              </w:tabs>
              <w:spacing w:after="0" w:line="240" w:lineRule="auto"/>
              <w:jc w:val="both"/>
              <w:rPr>
                <w:rFonts w:ascii="Arial" w:hAnsi="Arial"/>
                <w:sz w:val="24"/>
                <w:szCs w:val="24"/>
              </w:rPr>
            </w:pPr>
            <w:r>
              <w:rPr>
                <w:rFonts w:ascii="Arial" w:hAnsi="Arial"/>
                <w:sz w:val="24"/>
                <w:szCs w:val="24"/>
              </w:rPr>
              <w:t xml:space="preserve">To make enquiries to determine the most appropriate provision of early help support to families and individuals. </w:t>
            </w:r>
            <w:r w:rsidR="00722696">
              <w:rPr>
                <w:rFonts w:ascii="Arial" w:hAnsi="Arial"/>
                <w:sz w:val="24"/>
                <w:szCs w:val="24"/>
              </w:rPr>
              <w:t xml:space="preserve">To establish consent for early help and ensure the needs of the child are met via TAS and EHA. To provide feedback </w:t>
            </w:r>
            <w:r w:rsidR="00FE58CC">
              <w:rPr>
                <w:rFonts w:ascii="Arial" w:hAnsi="Arial"/>
                <w:sz w:val="24"/>
                <w:szCs w:val="24"/>
              </w:rPr>
              <w:t>to referrers where threshold has not been met, to encourage appropriate referral pathways and access to service provisions under the wider early help offer.</w:t>
            </w:r>
          </w:p>
          <w:p w14:paraId="048C3A64" w14:textId="77777777" w:rsidR="002A2398" w:rsidRPr="00784003" w:rsidRDefault="002A2398" w:rsidP="00746CF0">
            <w:pPr>
              <w:pStyle w:val="ListParagraph"/>
              <w:spacing w:after="0" w:line="240" w:lineRule="auto"/>
              <w:ind w:left="313"/>
              <w:rPr>
                <w:rFonts w:ascii="Arial" w:hAnsi="Arial"/>
              </w:rPr>
            </w:pPr>
          </w:p>
        </w:tc>
      </w:tr>
      <w:tr w:rsidR="002D03B5" w:rsidRPr="00784003" w14:paraId="591E87BF" w14:textId="77777777" w:rsidTr="1FA4911C">
        <w:tc>
          <w:tcPr>
            <w:tcW w:w="10773" w:type="dxa"/>
          </w:tcPr>
          <w:p w14:paraId="715EB3A4"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2EAE70E3" w14:textId="77777777" w:rsidTr="1FA4911C">
        <w:tc>
          <w:tcPr>
            <w:tcW w:w="10773" w:type="dxa"/>
          </w:tcPr>
          <w:p w14:paraId="034A9D41" w14:textId="77777777" w:rsidR="00784003" w:rsidRDefault="00784003" w:rsidP="005E2BF6">
            <w:pPr>
              <w:spacing w:after="0" w:line="240" w:lineRule="auto"/>
              <w:jc w:val="both"/>
              <w:rPr>
                <w:rFonts w:ascii="Arial" w:hAnsi="Arial" w:cs="Arial"/>
                <w:sz w:val="24"/>
                <w:szCs w:val="24"/>
              </w:rPr>
            </w:pPr>
          </w:p>
          <w:tbl>
            <w:tblPr>
              <w:tblW w:w="0" w:type="auto"/>
              <w:tblBorders>
                <w:top w:val="nil"/>
                <w:left w:val="nil"/>
                <w:bottom w:val="nil"/>
                <w:right w:val="nil"/>
              </w:tblBorders>
              <w:tblLook w:val="0000" w:firstRow="0" w:lastRow="0" w:firstColumn="0" w:lastColumn="0" w:noHBand="0" w:noVBand="0"/>
            </w:tblPr>
            <w:tblGrid>
              <w:gridCol w:w="10557"/>
            </w:tblGrid>
            <w:tr w:rsidR="0012367F" w:rsidRPr="0049033C" w14:paraId="7BC4D9C5" w14:textId="77777777" w:rsidTr="1FA4911C">
              <w:trPr>
                <w:trHeight w:val="2045"/>
              </w:trPr>
              <w:tc>
                <w:tcPr>
                  <w:tcW w:w="0" w:type="auto"/>
                </w:tcPr>
                <w:p w14:paraId="181957E6" w14:textId="2C184DF6" w:rsidR="000B5848" w:rsidRDefault="00FE58CC" w:rsidP="005E2BF6">
                  <w:pPr>
                    <w:pStyle w:val="Default"/>
                    <w:jc w:val="both"/>
                    <w:rPr>
                      <w:color w:val="auto"/>
                    </w:rPr>
                  </w:pPr>
                  <w:r>
                    <w:rPr>
                      <w:color w:val="auto"/>
                    </w:rPr>
                    <w:t xml:space="preserve">Collaborative working with professional partners, to promote the best possible outcomes for children, young </w:t>
                  </w:r>
                  <w:r w:rsidR="00183256">
                    <w:rPr>
                      <w:color w:val="auto"/>
                    </w:rPr>
                    <w:t>people,</w:t>
                  </w:r>
                  <w:r>
                    <w:rPr>
                      <w:color w:val="auto"/>
                    </w:rPr>
                    <w:t xml:space="preserve"> and families</w:t>
                  </w:r>
                </w:p>
                <w:p w14:paraId="06EDE7E4" w14:textId="6FE5C4A8" w:rsidR="00FE58CC" w:rsidRDefault="00FE58CC" w:rsidP="005E2BF6">
                  <w:pPr>
                    <w:pStyle w:val="Default"/>
                    <w:jc w:val="both"/>
                    <w:rPr>
                      <w:color w:val="auto"/>
                    </w:rPr>
                  </w:pPr>
                </w:p>
                <w:p w14:paraId="5CB64F06" w14:textId="3E6AD5F1" w:rsidR="00FE58CC" w:rsidRDefault="00FE58CC" w:rsidP="005E2BF6">
                  <w:pPr>
                    <w:pStyle w:val="Default"/>
                    <w:jc w:val="both"/>
                    <w:rPr>
                      <w:color w:val="auto"/>
                    </w:rPr>
                  </w:pPr>
                  <w:r>
                    <w:rPr>
                      <w:color w:val="auto"/>
                    </w:rPr>
                    <w:t xml:space="preserve">To manage a caseload </w:t>
                  </w:r>
                  <w:r w:rsidR="00B865FE">
                    <w:rPr>
                      <w:color w:val="auto"/>
                    </w:rPr>
                    <w:t xml:space="preserve">relating to children, young people and families </w:t>
                  </w:r>
                  <w:r w:rsidR="00941DC1">
                    <w:rPr>
                      <w:color w:val="auto"/>
                    </w:rPr>
                    <w:t>who require early support</w:t>
                  </w:r>
                </w:p>
                <w:p w14:paraId="6084E280" w14:textId="64F23645" w:rsidR="00B865FE" w:rsidRDefault="00B865FE" w:rsidP="005E2BF6">
                  <w:pPr>
                    <w:pStyle w:val="Default"/>
                    <w:jc w:val="both"/>
                    <w:rPr>
                      <w:color w:val="auto"/>
                    </w:rPr>
                  </w:pPr>
                </w:p>
                <w:p w14:paraId="3B18D2E1" w14:textId="6E214F4E" w:rsidR="00B865FE" w:rsidRDefault="00B865FE" w:rsidP="005E2BF6">
                  <w:pPr>
                    <w:pStyle w:val="Default"/>
                    <w:jc w:val="both"/>
                    <w:rPr>
                      <w:color w:val="auto"/>
                    </w:rPr>
                  </w:pPr>
                  <w:r>
                    <w:rPr>
                      <w:color w:val="auto"/>
                    </w:rPr>
                    <w:t xml:space="preserve">To ensure a timely response and offer of early help to children, </w:t>
                  </w:r>
                  <w:r w:rsidR="007027F0">
                    <w:rPr>
                      <w:color w:val="auto"/>
                    </w:rPr>
                    <w:t xml:space="preserve">young people and families </w:t>
                  </w:r>
                </w:p>
                <w:p w14:paraId="0EEC5E12" w14:textId="1CE1A066" w:rsidR="007027F0" w:rsidRDefault="007027F0" w:rsidP="005E2BF6">
                  <w:pPr>
                    <w:pStyle w:val="Default"/>
                    <w:jc w:val="both"/>
                    <w:rPr>
                      <w:color w:val="auto"/>
                    </w:rPr>
                  </w:pPr>
                </w:p>
                <w:p w14:paraId="16D323F3" w14:textId="5E10E85C" w:rsidR="007027F0" w:rsidRDefault="007027F0" w:rsidP="005E2BF6">
                  <w:pPr>
                    <w:pStyle w:val="Default"/>
                    <w:jc w:val="both"/>
                    <w:rPr>
                      <w:color w:val="auto"/>
                    </w:rPr>
                  </w:pPr>
                  <w:r>
                    <w:rPr>
                      <w:color w:val="auto"/>
                    </w:rPr>
                    <w:t>To assess the needs of children and young people and then determine an appropriate level of intervention</w:t>
                  </w:r>
                </w:p>
                <w:p w14:paraId="49AEF3A7" w14:textId="57C62C87" w:rsidR="007027F0" w:rsidRDefault="007027F0" w:rsidP="005E2BF6">
                  <w:pPr>
                    <w:pStyle w:val="Default"/>
                    <w:jc w:val="both"/>
                    <w:rPr>
                      <w:color w:val="auto"/>
                    </w:rPr>
                  </w:pPr>
                </w:p>
                <w:p w14:paraId="68A70F3B" w14:textId="230E44CE" w:rsidR="007027F0" w:rsidRDefault="001924E0" w:rsidP="005E2BF6">
                  <w:pPr>
                    <w:pStyle w:val="Default"/>
                    <w:jc w:val="both"/>
                    <w:rPr>
                      <w:color w:val="auto"/>
                    </w:rPr>
                  </w:pPr>
                  <w:r>
                    <w:rPr>
                      <w:color w:val="auto"/>
                    </w:rPr>
                    <w:t>G</w:t>
                  </w:r>
                  <w:r w:rsidR="007027F0">
                    <w:rPr>
                      <w:color w:val="auto"/>
                    </w:rPr>
                    <w:t xml:space="preserve">athering information to assist in the determination of whether there is a need for </w:t>
                  </w:r>
                  <w:r w:rsidR="00A113C9">
                    <w:rPr>
                      <w:color w:val="auto"/>
                    </w:rPr>
                    <w:t>intervention within</w:t>
                  </w:r>
                  <w:r w:rsidR="00507495">
                    <w:rPr>
                      <w:color w:val="auto"/>
                    </w:rPr>
                    <w:t xml:space="preserve"> the Continuum of Need.</w:t>
                  </w:r>
                </w:p>
                <w:p w14:paraId="757262EE" w14:textId="404A4B55" w:rsidR="00BB1858" w:rsidRDefault="00BB1858" w:rsidP="005E2BF6">
                  <w:pPr>
                    <w:pStyle w:val="Default"/>
                    <w:jc w:val="both"/>
                    <w:rPr>
                      <w:color w:val="auto"/>
                    </w:rPr>
                  </w:pPr>
                </w:p>
                <w:p w14:paraId="7D38D3EB" w14:textId="13DC65B0" w:rsidR="00BB1858" w:rsidRDefault="00EB6991" w:rsidP="005E2BF6">
                  <w:pPr>
                    <w:pStyle w:val="Default"/>
                    <w:jc w:val="both"/>
                    <w:rPr>
                      <w:color w:val="auto"/>
                    </w:rPr>
                  </w:pPr>
                  <w:r>
                    <w:rPr>
                      <w:color w:val="auto"/>
                    </w:rPr>
                    <w:t>To act as a conduit to navigate referrals received into</w:t>
                  </w:r>
                  <w:r w:rsidR="00C35592">
                    <w:rPr>
                      <w:color w:val="auto"/>
                    </w:rPr>
                    <w:t xml:space="preserve"> the Hub</w:t>
                  </w:r>
                  <w:r>
                    <w:rPr>
                      <w:color w:val="auto"/>
                    </w:rPr>
                    <w:t xml:space="preserve">, deemed as </w:t>
                  </w:r>
                  <w:r w:rsidR="005F0B89">
                    <w:rPr>
                      <w:color w:val="auto"/>
                    </w:rPr>
                    <w:t>'</w:t>
                  </w:r>
                  <w:r>
                    <w:rPr>
                      <w:color w:val="auto"/>
                    </w:rPr>
                    <w:t xml:space="preserve">early </w:t>
                  </w:r>
                  <w:r w:rsidR="005F0B89">
                    <w:rPr>
                      <w:color w:val="auto"/>
                    </w:rPr>
                    <w:t>help' and direct these to wider early help services in a timely manner.</w:t>
                  </w:r>
                </w:p>
                <w:p w14:paraId="2C6127C6" w14:textId="263F99D8" w:rsidR="00CE29E4" w:rsidRDefault="00CE29E4" w:rsidP="005E2BF6">
                  <w:pPr>
                    <w:pStyle w:val="Default"/>
                    <w:jc w:val="both"/>
                    <w:rPr>
                      <w:color w:val="auto"/>
                    </w:rPr>
                  </w:pPr>
                </w:p>
                <w:p w14:paraId="1948879C" w14:textId="0E872525" w:rsidR="00A96BF2" w:rsidRDefault="00A96BF2" w:rsidP="005E2BF6">
                  <w:pPr>
                    <w:pStyle w:val="Default"/>
                    <w:jc w:val="both"/>
                    <w:rPr>
                      <w:color w:val="auto"/>
                    </w:rPr>
                  </w:pPr>
                </w:p>
                <w:p w14:paraId="06632CCA" w14:textId="77777777" w:rsidR="00737F6F" w:rsidRDefault="00737F6F" w:rsidP="005E2BF6">
                  <w:pPr>
                    <w:pStyle w:val="Default"/>
                    <w:jc w:val="both"/>
                    <w:rPr>
                      <w:color w:val="auto"/>
                    </w:rPr>
                  </w:pPr>
                </w:p>
                <w:p w14:paraId="6B4813F6" w14:textId="5CD0A9C6" w:rsidR="00EB401C" w:rsidRDefault="00EB401C" w:rsidP="005E2BF6">
                  <w:pPr>
                    <w:pStyle w:val="Default"/>
                    <w:jc w:val="both"/>
                    <w:rPr>
                      <w:color w:val="auto"/>
                    </w:rPr>
                  </w:pPr>
                  <w:r>
                    <w:rPr>
                      <w:color w:val="auto"/>
                    </w:rPr>
                    <w:t xml:space="preserve">To work as part of the </w:t>
                  </w:r>
                  <w:r w:rsidR="00C35592">
                    <w:rPr>
                      <w:color w:val="auto"/>
                    </w:rPr>
                    <w:t xml:space="preserve">support hub </w:t>
                  </w:r>
                  <w:r>
                    <w:rPr>
                      <w:color w:val="auto"/>
                    </w:rPr>
                    <w:t xml:space="preserve">to provide information and support to colleagues regarding </w:t>
                  </w:r>
                  <w:r w:rsidR="00183256">
                    <w:rPr>
                      <w:color w:val="auto"/>
                    </w:rPr>
                    <w:t>early help provision.</w:t>
                  </w:r>
                </w:p>
                <w:p w14:paraId="51B65974" w14:textId="5B9286A3" w:rsidR="00A113C9" w:rsidRDefault="00A113C9" w:rsidP="005E2BF6">
                  <w:pPr>
                    <w:pStyle w:val="Default"/>
                    <w:jc w:val="both"/>
                    <w:rPr>
                      <w:color w:val="auto"/>
                    </w:rPr>
                  </w:pPr>
                </w:p>
                <w:p w14:paraId="1F4410B4" w14:textId="69B2FE5E" w:rsidR="00A113C9" w:rsidRDefault="00A113C9" w:rsidP="005E2BF6">
                  <w:pPr>
                    <w:pStyle w:val="Default"/>
                    <w:jc w:val="both"/>
                    <w:rPr>
                      <w:color w:val="auto"/>
                    </w:rPr>
                  </w:pPr>
                  <w:r>
                    <w:rPr>
                      <w:color w:val="auto"/>
                    </w:rPr>
                    <w:t>To ensure the needs and wishes of children are fully addresse</w:t>
                  </w:r>
                  <w:r w:rsidR="002E1E14">
                    <w:rPr>
                      <w:color w:val="auto"/>
                    </w:rPr>
                    <w:t>d</w:t>
                  </w:r>
                  <w:r>
                    <w:rPr>
                      <w:color w:val="auto"/>
                    </w:rPr>
                    <w:t xml:space="preserve"> in the assessment and planning process and that there is evidence of children and young people's participation</w:t>
                  </w:r>
                  <w:r w:rsidR="002E1E14">
                    <w:rPr>
                      <w:color w:val="auto"/>
                    </w:rPr>
                    <w:t>, lived experienced and voice of the child.</w:t>
                  </w:r>
                </w:p>
                <w:p w14:paraId="0CABB086" w14:textId="77777777" w:rsidR="00746CF0" w:rsidRDefault="00746CF0" w:rsidP="005E2BF6">
                  <w:pPr>
                    <w:pStyle w:val="Default"/>
                    <w:ind w:left="205"/>
                    <w:jc w:val="both"/>
                  </w:pPr>
                </w:p>
                <w:p w14:paraId="319FBBAE" w14:textId="77777777" w:rsidR="00C62F7A" w:rsidRDefault="00FA1EBA" w:rsidP="005E2BF6">
                  <w:pPr>
                    <w:pStyle w:val="Default"/>
                    <w:jc w:val="both"/>
                  </w:pPr>
                  <w:r>
                    <w:t>Liaise with designated line manager and comply with service requirements regarding supervision, undertaking continuous professional development and attendance at formal training.</w:t>
                  </w:r>
                </w:p>
                <w:p w14:paraId="57EFC220" w14:textId="77777777" w:rsidR="00C62F7A" w:rsidRDefault="00C62F7A" w:rsidP="005E2BF6">
                  <w:pPr>
                    <w:pStyle w:val="Default"/>
                    <w:ind w:left="205"/>
                    <w:jc w:val="both"/>
                  </w:pPr>
                </w:p>
                <w:p w14:paraId="23F71D25" w14:textId="77777777" w:rsidR="00C62F7A" w:rsidRDefault="00167572" w:rsidP="005E2BF6">
                  <w:pPr>
                    <w:pStyle w:val="Default"/>
                    <w:jc w:val="both"/>
                  </w:pPr>
                  <w:r>
                    <w:t>Be aware and responsive to the differing needs of all groups within the community.</w:t>
                  </w:r>
                </w:p>
                <w:p w14:paraId="5A25CDE9" w14:textId="77777777" w:rsidR="00167572" w:rsidRDefault="00167572" w:rsidP="005E2BF6">
                  <w:pPr>
                    <w:pStyle w:val="Default"/>
                    <w:ind w:left="205"/>
                    <w:jc w:val="both"/>
                  </w:pPr>
                </w:p>
                <w:p w14:paraId="775949B2" w14:textId="77777777" w:rsidR="00C62F7A" w:rsidRDefault="00C62F7A" w:rsidP="005E2BF6">
                  <w:pPr>
                    <w:pStyle w:val="Default"/>
                    <w:jc w:val="both"/>
                  </w:pPr>
                  <w:r>
                    <w:t>Undertake any other duties in relation to this area of work, including membership of the team's duty rota.</w:t>
                  </w:r>
                </w:p>
                <w:p w14:paraId="376D1AA4" w14:textId="77777777" w:rsidR="00C62F7A" w:rsidRDefault="00C62F7A" w:rsidP="005E2BF6">
                  <w:pPr>
                    <w:pStyle w:val="Default"/>
                    <w:ind w:left="205"/>
                    <w:jc w:val="both"/>
                  </w:pPr>
                </w:p>
                <w:p w14:paraId="6FA3CB7C" w14:textId="6AAAA5EA" w:rsidR="00C836C6" w:rsidRDefault="00BA43A9" w:rsidP="005E2BF6">
                  <w:pPr>
                    <w:pStyle w:val="Default"/>
                    <w:jc w:val="both"/>
                  </w:pPr>
                  <w:r>
                    <w:t>W</w:t>
                  </w:r>
                  <w:r w:rsidR="00C836C6">
                    <w:t>ork within the Safeguarding procedures and protocols within Lancashire County Council.</w:t>
                  </w:r>
                </w:p>
                <w:p w14:paraId="7CFDB775" w14:textId="41DB5DD8" w:rsidR="1FA4911C" w:rsidRDefault="1FA4911C" w:rsidP="1FA4911C">
                  <w:pPr>
                    <w:pStyle w:val="Default"/>
                    <w:jc w:val="both"/>
                  </w:pPr>
                </w:p>
                <w:p w14:paraId="1F3F5451" w14:textId="4407ADF0" w:rsidR="1FF48BAC" w:rsidRDefault="1FF48BAC" w:rsidP="1FA4911C">
                  <w:pPr>
                    <w:spacing w:after="0"/>
                  </w:pPr>
                  <w:r w:rsidRPr="1FA4911C">
                    <w:rPr>
                      <w:rFonts w:ascii="Arial" w:eastAsia="Arial" w:hAnsi="Arial" w:cs="Arial"/>
                      <w:sz w:val="24"/>
                      <w:szCs w:val="24"/>
                      <w:lang w:val="en-US"/>
                    </w:rPr>
                    <w:t>To undertake the initial social care response required when an Education, Health and Care Needs Assessment (EHCNA) is initiated. These workers will contact families promptly when an assessment request is received, gather proportional information about the child and family using current EHM/LCS records and a structured EHM proforma.  They will provide impartial information, advice and signposting to appropriate support services including Early Help, Family Hubs, Short Breaks, the Local Offer and SENDIAS. They will also offer parent</w:t>
                  </w:r>
                  <w:r>
                    <w:noBreakHyphen/>
                  </w:r>
                  <w:r w:rsidRPr="1FA4911C">
                    <w:rPr>
                      <w:rFonts w:ascii="Arial" w:eastAsia="Arial" w:hAnsi="Arial" w:cs="Arial"/>
                      <w:sz w:val="24"/>
                      <w:szCs w:val="24"/>
                      <w:lang w:val="en-US"/>
                    </w:rPr>
                    <w:t>carer or child and family assessments under section 17(10c) or section 17ZD where appropriate and escalate safeguarding concerns immediately to MASH when thresholds are met. All information gathered will be recorded in a consistent and auditable way to support Local Moderating Panel 1 decision-making and ensure statutory requirements are met.</w:t>
                  </w:r>
                </w:p>
                <w:p w14:paraId="02ACA776" w14:textId="4EBA24CF" w:rsidR="1FA4911C" w:rsidRDefault="1FA4911C" w:rsidP="1FA4911C">
                  <w:pPr>
                    <w:pStyle w:val="Default"/>
                    <w:jc w:val="both"/>
                  </w:pPr>
                </w:p>
                <w:p w14:paraId="46D1DAD4" w14:textId="77777777" w:rsidR="0012367F" w:rsidRPr="000B5848" w:rsidRDefault="0012367F" w:rsidP="005E2BF6">
                  <w:pPr>
                    <w:pStyle w:val="Default"/>
                    <w:jc w:val="both"/>
                  </w:pPr>
                </w:p>
              </w:tc>
            </w:tr>
          </w:tbl>
          <w:p w14:paraId="49E343D7" w14:textId="77777777" w:rsidR="002D03B5" w:rsidRPr="0049033C" w:rsidRDefault="002D03B5" w:rsidP="005E2BF6">
            <w:pPr>
              <w:pStyle w:val="Default"/>
              <w:ind w:left="454"/>
              <w:jc w:val="both"/>
            </w:pPr>
          </w:p>
        </w:tc>
      </w:tr>
      <w:tr w:rsidR="002D03B5" w:rsidRPr="00784003" w14:paraId="6FF5754A" w14:textId="77777777" w:rsidTr="1FA4911C">
        <w:tc>
          <w:tcPr>
            <w:tcW w:w="10773" w:type="dxa"/>
          </w:tcPr>
          <w:p w14:paraId="752D8FE0" w14:textId="77777777"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lastRenderedPageBreak/>
              <w:t>Other</w:t>
            </w:r>
          </w:p>
        </w:tc>
      </w:tr>
      <w:tr w:rsidR="002D03B5" w:rsidRPr="00784003" w14:paraId="16112B17" w14:textId="77777777" w:rsidTr="1FA4911C">
        <w:tc>
          <w:tcPr>
            <w:tcW w:w="10773" w:type="dxa"/>
          </w:tcPr>
          <w:p w14:paraId="36A18DE5" w14:textId="77777777" w:rsidR="00946AFC" w:rsidRDefault="00946AFC" w:rsidP="00946AFC">
            <w:pPr>
              <w:pStyle w:val="HayGroup11"/>
              <w:rPr>
                <w:rFonts w:ascii="Arial" w:hAnsi="Arial" w:cs="Arial"/>
                <w:sz w:val="24"/>
                <w:lang w:val="en-GB"/>
              </w:rPr>
            </w:pPr>
          </w:p>
          <w:p w14:paraId="6ECD6753" w14:textId="77777777" w:rsidR="00C836C6" w:rsidRPr="00C836C6" w:rsidRDefault="00C836C6" w:rsidP="00877FD0">
            <w:pPr>
              <w:pStyle w:val="Default"/>
              <w:numPr>
                <w:ilvl w:val="0"/>
                <w:numId w:val="18"/>
              </w:numPr>
              <w:rPr>
                <w:b/>
              </w:rPr>
            </w:pPr>
            <w:r w:rsidRPr="00C836C6">
              <w:rPr>
                <w:b/>
              </w:rPr>
              <w:t>Equal Opportunities</w:t>
            </w:r>
          </w:p>
          <w:p w14:paraId="5901D2E3" w14:textId="77777777"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3604327F" w14:textId="77777777" w:rsidR="00A7579B" w:rsidRPr="00963600" w:rsidRDefault="00A7579B" w:rsidP="00C836C6">
            <w:pPr>
              <w:pStyle w:val="Default"/>
              <w:ind w:left="360"/>
            </w:pPr>
          </w:p>
          <w:p w14:paraId="5A11F86B" w14:textId="77777777" w:rsidR="00C836C6" w:rsidRPr="00C836C6" w:rsidRDefault="00C836C6" w:rsidP="00877FD0">
            <w:pPr>
              <w:pStyle w:val="Default"/>
              <w:numPr>
                <w:ilvl w:val="0"/>
                <w:numId w:val="18"/>
              </w:numPr>
              <w:rPr>
                <w:b/>
              </w:rPr>
            </w:pPr>
            <w:r w:rsidRPr="00C836C6">
              <w:rPr>
                <w:b/>
              </w:rPr>
              <w:t>Health and safety</w:t>
            </w:r>
          </w:p>
          <w:p w14:paraId="7E74093E" w14:textId="77777777"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449390B3" w14:textId="77777777" w:rsidR="00A7579B" w:rsidRPr="00963600" w:rsidRDefault="00A7579B" w:rsidP="00C836C6">
            <w:pPr>
              <w:pStyle w:val="Default"/>
              <w:ind w:left="360"/>
            </w:pPr>
          </w:p>
          <w:p w14:paraId="6C23028F" w14:textId="77777777" w:rsidR="00C836C6" w:rsidRPr="00C836C6" w:rsidRDefault="00C836C6" w:rsidP="00877FD0">
            <w:pPr>
              <w:pStyle w:val="Default"/>
              <w:numPr>
                <w:ilvl w:val="0"/>
                <w:numId w:val="18"/>
              </w:numPr>
              <w:rPr>
                <w:b/>
              </w:rPr>
            </w:pPr>
            <w:r w:rsidRPr="00C836C6">
              <w:rPr>
                <w:b/>
              </w:rPr>
              <w:t>Safeguarding Commitment</w:t>
            </w:r>
          </w:p>
          <w:p w14:paraId="1626187F" w14:textId="77777777" w:rsidR="0012367F" w:rsidRPr="00963600" w:rsidRDefault="00C836C6" w:rsidP="00C836C6">
            <w:pPr>
              <w:pStyle w:val="Default"/>
              <w:ind w:left="360"/>
            </w:pPr>
            <w:r>
              <w:t>We are committed to protecting and promoting the welfare of children, young people and vulnerable adults</w:t>
            </w:r>
            <w:r w:rsidR="00963600" w:rsidRPr="00963600">
              <w:t>.</w:t>
            </w:r>
            <w:r w:rsidR="0012367F" w:rsidRPr="00963600">
              <w:t xml:space="preserve"> </w:t>
            </w:r>
          </w:p>
          <w:p w14:paraId="4E866D05" w14:textId="77777777" w:rsidR="00946AFC" w:rsidRPr="00784003" w:rsidRDefault="00946AFC" w:rsidP="000B5848">
            <w:pPr>
              <w:pStyle w:val="HayGroup11"/>
              <w:ind w:left="360"/>
              <w:rPr>
                <w:rFonts w:ascii="Arial" w:hAnsi="Arial" w:cs="Arial"/>
                <w:sz w:val="24"/>
              </w:rPr>
            </w:pPr>
          </w:p>
        </w:tc>
      </w:tr>
    </w:tbl>
    <w:p w14:paraId="2BAED5C4" w14:textId="77777777" w:rsidR="00725524" w:rsidRPr="00784003" w:rsidRDefault="00725524" w:rsidP="00081256">
      <w:pPr>
        <w:spacing w:after="0"/>
        <w:rPr>
          <w:rFonts w:ascii="Arial" w:hAnsi="Arial" w:cs="Arial"/>
          <w:sz w:val="24"/>
          <w:szCs w:val="24"/>
        </w:rPr>
      </w:pPr>
    </w:p>
    <w:p w14:paraId="6D4B93D2" w14:textId="77777777" w:rsidR="00CC6993" w:rsidRDefault="00CC6993" w:rsidP="001E1319">
      <w:pPr>
        <w:rPr>
          <w:sz w:val="23"/>
          <w:szCs w:val="23"/>
        </w:rPr>
      </w:pPr>
    </w:p>
    <w:p w14:paraId="0772D468" w14:textId="77777777" w:rsidR="0087424C" w:rsidRDefault="0087424C">
      <w:pPr>
        <w:spacing w:after="0" w:line="240" w:lineRule="auto"/>
        <w:rPr>
          <w:rFonts w:ascii="Arial" w:hAnsi="Arial" w:cs="Arial"/>
          <w:sz w:val="24"/>
          <w:szCs w:val="24"/>
        </w:rPr>
      </w:pPr>
      <w:r>
        <w:rPr>
          <w:rFonts w:ascii="Arial" w:hAnsi="Arial" w:cs="Arial"/>
          <w:sz w:val="24"/>
          <w:szCs w:val="24"/>
        </w:rPr>
        <w:lastRenderedPageBreak/>
        <w:br w:type="page"/>
      </w:r>
    </w:p>
    <w:p w14:paraId="5B4B49A9" w14:textId="77777777" w:rsidR="0087424C" w:rsidRDefault="0087424C" w:rsidP="0087424C">
      <w:pPr>
        <w:spacing w:after="0" w:line="240" w:lineRule="auto"/>
        <w:jc w:val="center"/>
        <w:rPr>
          <w:rFonts w:ascii="Arial" w:hAnsi="Arial" w:cs="Arial"/>
          <w:b/>
          <w:sz w:val="28"/>
          <w:szCs w:val="28"/>
        </w:rPr>
      </w:pPr>
      <w:r>
        <w:rPr>
          <w:rFonts w:ascii="Arial" w:hAnsi="Arial" w:cs="Arial"/>
          <w:b/>
          <w:sz w:val="28"/>
          <w:szCs w:val="28"/>
        </w:rPr>
        <w:lastRenderedPageBreak/>
        <w:t xml:space="preserve">Person Specification </w:t>
      </w:r>
    </w:p>
    <w:p w14:paraId="7255B4DA" w14:textId="63E30200" w:rsidR="0087424C" w:rsidRDefault="00DA1F6E" w:rsidP="0087424C">
      <w:pPr>
        <w:spacing w:after="0"/>
        <w:jc w:val="center"/>
        <w:rPr>
          <w:rFonts w:ascii="Arial" w:hAnsi="Arial" w:cs="Arial"/>
          <w:b/>
          <w:sz w:val="28"/>
          <w:szCs w:val="28"/>
        </w:rPr>
      </w:pPr>
      <w:r>
        <w:rPr>
          <w:rFonts w:ascii="Arial" w:hAnsi="Arial" w:cs="Arial"/>
          <w:b/>
          <w:sz w:val="28"/>
          <w:szCs w:val="28"/>
        </w:rPr>
        <w:t xml:space="preserve">Early Help </w:t>
      </w:r>
      <w:r w:rsidR="00795E8C">
        <w:rPr>
          <w:rFonts w:ascii="Arial" w:hAnsi="Arial" w:cs="Arial"/>
          <w:b/>
          <w:sz w:val="28"/>
          <w:szCs w:val="28"/>
        </w:rPr>
        <w:t>Support Worker</w:t>
      </w:r>
      <w:r>
        <w:rPr>
          <w:rFonts w:ascii="Arial" w:hAnsi="Arial" w:cs="Arial"/>
          <w:b/>
          <w:sz w:val="28"/>
          <w:szCs w:val="28"/>
        </w:rPr>
        <w:t xml:space="preserve"> </w:t>
      </w:r>
      <w:r w:rsidR="00C836C6">
        <w:rPr>
          <w:rFonts w:ascii="Arial" w:hAnsi="Arial" w:cs="Arial"/>
          <w:b/>
          <w:sz w:val="28"/>
          <w:szCs w:val="28"/>
        </w:rPr>
        <w:t>(</w:t>
      </w:r>
      <w:r w:rsidR="00C35592">
        <w:rPr>
          <w:rFonts w:ascii="Arial" w:hAnsi="Arial" w:cs="Arial"/>
          <w:b/>
          <w:sz w:val="28"/>
          <w:szCs w:val="28"/>
        </w:rPr>
        <w:t>Children's Services Support Hub</w:t>
      </w:r>
      <w:r w:rsidR="00C836C6">
        <w:rPr>
          <w:rFonts w:ascii="Arial" w:hAnsi="Arial" w:cs="Arial"/>
          <w:b/>
          <w:sz w:val="28"/>
          <w:szCs w:val="28"/>
        </w:rPr>
        <w:t>)</w:t>
      </w:r>
    </w:p>
    <w:p w14:paraId="5D0814F1" w14:textId="77777777" w:rsidR="0087424C" w:rsidRDefault="0087424C" w:rsidP="0087424C">
      <w:pPr>
        <w:spacing w:after="0" w:line="240" w:lineRule="auto"/>
        <w:jc w:val="center"/>
        <w:rPr>
          <w:rFonts w:ascii="Arial" w:hAnsi="Arial" w:cs="Arial"/>
          <w:b/>
          <w:sz w:val="28"/>
          <w:szCs w:val="28"/>
        </w:rPr>
      </w:pPr>
    </w:p>
    <w:p w14:paraId="1A18443C" w14:textId="77777777" w:rsidR="00FA1EBA" w:rsidRPr="00213EE5" w:rsidRDefault="00FA1EBA" w:rsidP="0087424C">
      <w:pPr>
        <w:spacing w:after="0" w:line="240" w:lineRule="auto"/>
        <w:jc w:val="center"/>
        <w:rPr>
          <w:rFonts w:ascii="Arial" w:hAnsi="Arial" w:cs="Arial"/>
          <w:b/>
          <w:sz w:val="28"/>
          <w:szCs w:val="28"/>
        </w:rPr>
      </w:pPr>
    </w:p>
    <w:tbl>
      <w:tblPr>
        <w:tblStyle w:val="TableGrid"/>
        <w:tblpPr w:leftFromText="180" w:rightFromText="180" w:vertAnchor="text" w:horzAnchor="margin" w:tblpX="126" w:tblpY="28"/>
        <w:tblW w:w="10485" w:type="dxa"/>
        <w:tblLook w:val="04A0" w:firstRow="1" w:lastRow="0" w:firstColumn="1" w:lastColumn="0" w:noHBand="0" w:noVBand="1"/>
      </w:tblPr>
      <w:tblGrid>
        <w:gridCol w:w="10485"/>
      </w:tblGrid>
      <w:tr w:rsidR="0087424C" w:rsidRPr="00F511C1" w14:paraId="4EC4D17D" w14:textId="77777777" w:rsidTr="0087424C">
        <w:tc>
          <w:tcPr>
            <w:tcW w:w="10485" w:type="dxa"/>
            <w:tcBorders>
              <w:top w:val="single" w:sz="4" w:space="0" w:color="auto"/>
              <w:left w:val="single" w:sz="4" w:space="0" w:color="auto"/>
              <w:bottom w:val="single" w:sz="4" w:space="0" w:color="auto"/>
              <w:right w:val="single" w:sz="4" w:space="0" w:color="auto"/>
            </w:tcBorders>
          </w:tcPr>
          <w:p w14:paraId="4E865B18" w14:textId="77777777" w:rsidR="0087424C" w:rsidRDefault="0087424C" w:rsidP="0087424C">
            <w:pPr>
              <w:spacing w:before="120" w:after="120"/>
              <w:rPr>
                <w:rFonts w:ascii="Arial" w:hAnsi="Arial" w:cs="Arial"/>
                <w:b/>
                <w:sz w:val="24"/>
                <w:szCs w:val="24"/>
              </w:rPr>
            </w:pPr>
            <w:r>
              <w:rPr>
                <w:rFonts w:ascii="Arial" w:hAnsi="Arial" w:cs="Arial"/>
                <w:b/>
                <w:sz w:val="24"/>
                <w:szCs w:val="24"/>
              </w:rPr>
              <w:t>Qualifications</w:t>
            </w:r>
          </w:p>
          <w:p w14:paraId="217A1CAE" w14:textId="77777777" w:rsidR="001D6145" w:rsidRDefault="001D6145" w:rsidP="0087424C">
            <w:pPr>
              <w:spacing w:before="120" w:after="120"/>
              <w:rPr>
                <w:rFonts w:ascii="Arial" w:hAnsi="Arial" w:cs="Arial"/>
                <w:b/>
                <w:sz w:val="24"/>
                <w:szCs w:val="24"/>
              </w:rPr>
            </w:pPr>
          </w:p>
          <w:p w14:paraId="7CC04864" w14:textId="77777777" w:rsidR="001D6145" w:rsidRDefault="001D6145" w:rsidP="0087424C">
            <w:pPr>
              <w:spacing w:before="120" w:after="120"/>
              <w:rPr>
                <w:rFonts w:ascii="Arial" w:hAnsi="Arial" w:cs="Arial"/>
                <w:bCs/>
                <w:sz w:val="24"/>
                <w:szCs w:val="24"/>
              </w:rPr>
            </w:pPr>
            <w:r w:rsidRPr="00CB6541">
              <w:rPr>
                <w:rFonts w:ascii="Arial" w:hAnsi="Arial" w:cs="Arial"/>
                <w:bCs/>
                <w:sz w:val="24"/>
                <w:szCs w:val="24"/>
              </w:rPr>
              <w:t xml:space="preserve">Possession of, or the ability to demonstrate the capability to gain, relevant </w:t>
            </w:r>
            <w:r w:rsidR="00CB6541" w:rsidRPr="00CB6541">
              <w:rPr>
                <w:rFonts w:ascii="Arial" w:hAnsi="Arial" w:cs="Arial"/>
                <w:bCs/>
                <w:sz w:val="24"/>
                <w:szCs w:val="24"/>
              </w:rPr>
              <w:t>qualifications, licenses</w:t>
            </w:r>
            <w:r w:rsidRPr="00CB6541">
              <w:rPr>
                <w:rFonts w:ascii="Arial" w:hAnsi="Arial" w:cs="Arial"/>
                <w:bCs/>
                <w:sz w:val="24"/>
                <w:szCs w:val="24"/>
              </w:rPr>
              <w:t xml:space="preserve"> or equivalent where applicable</w:t>
            </w:r>
          </w:p>
          <w:p w14:paraId="3ACBD30D" w14:textId="77777777" w:rsidR="00CB6541" w:rsidRDefault="00CB6541" w:rsidP="0087424C">
            <w:pPr>
              <w:spacing w:before="120" w:after="120"/>
              <w:rPr>
                <w:rFonts w:ascii="Arial" w:hAnsi="Arial" w:cs="Arial"/>
                <w:bCs/>
                <w:sz w:val="24"/>
                <w:szCs w:val="24"/>
              </w:rPr>
            </w:pPr>
          </w:p>
          <w:p w14:paraId="2FFE6DBE" w14:textId="77A61DA2" w:rsidR="00CB6541" w:rsidRPr="00CB6541" w:rsidRDefault="00CB6541" w:rsidP="0087424C">
            <w:pPr>
              <w:spacing w:before="120" w:after="120"/>
              <w:rPr>
                <w:rFonts w:ascii="Arial" w:hAnsi="Arial" w:cs="Arial"/>
                <w:bCs/>
                <w:sz w:val="24"/>
                <w:szCs w:val="24"/>
              </w:rPr>
            </w:pPr>
          </w:p>
        </w:tc>
      </w:tr>
      <w:tr w:rsidR="0087424C" w:rsidRPr="00C80087" w14:paraId="4946BAA9" w14:textId="77777777" w:rsidTr="0087424C">
        <w:tc>
          <w:tcPr>
            <w:tcW w:w="10485" w:type="dxa"/>
            <w:tcBorders>
              <w:top w:val="single" w:sz="4" w:space="0" w:color="auto"/>
              <w:left w:val="single" w:sz="4" w:space="0" w:color="auto"/>
              <w:bottom w:val="single" w:sz="4" w:space="0" w:color="auto"/>
              <w:right w:val="single" w:sz="4" w:space="0" w:color="auto"/>
            </w:tcBorders>
          </w:tcPr>
          <w:p w14:paraId="4A8AFD01" w14:textId="77777777" w:rsidR="0087424C" w:rsidRDefault="0087424C" w:rsidP="00C836C6">
            <w:pPr>
              <w:spacing w:before="120" w:after="120"/>
              <w:rPr>
                <w:rFonts w:ascii="Arial" w:hAnsi="Arial" w:cs="Arial"/>
                <w:b/>
                <w:sz w:val="24"/>
                <w:szCs w:val="24"/>
              </w:rPr>
            </w:pPr>
            <w:r w:rsidRPr="0087424C">
              <w:rPr>
                <w:rFonts w:ascii="Arial" w:hAnsi="Arial" w:cs="Arial"/>
                <w:b/>
                <w:sz w:val="24"/>
                <w:szCs w:val="24"/>
              </w:rPr>
              <w:t xml:space="preserve">Experience </w:t>
            </w:r>
          </w:p>
          <w:p w14:paraId="02381C42" w14:textId="77777777" w:rsidR="005E2BF6" w:rsidRPr="005E2BF6" w:rsidRDefault="005E2BF6" w:rsidP="005E2BF6">
            <w:pPr>
              <w:pStyle w:val="ListParagraph"/>
              <w:numPr>
                <w:ilvl w:val="0"/>
                <w:numId w:val="19"/>
              </w:numPr>
              <w:spacing w:before="120" w:after="120" w:line="240" w:lineRule="auto"/>
              <w:rPr>
                <w:rFonts w:ascii="Arial" w:hAnsi="Arial" w:cs="Arial"/>
                <w:sz w:val="24"/>
                <w:szCs w:val="24"/>
              </w:rPr>
            </w:pPr>
            <w:r w:rsidRPr="005E2BF6">
              <w:rPr>
                <w:rFonts w:ascii="Arial" w:hAnsi="Arial" w:cs="Arial"/>
                <w:sz w:val="24"/>
                <w:szCs w:val="24"/>
              </w:rPr>
              <w:t>Experience of, or the ability to demonstrate the competence to, engage with individual children, young people, and families</w:t>
            </w:r>
            <w:r w:rsidRPr="005E2BF6">
              <w:rPr>
                <w:rFonts w:ascii="Arial" w:hAnsi="Arial" w:cs="Arial"/>
                <w:b/>
                <w:bCs/>
                <w:sz w:val="24"/>
                <w:szCs w:val="24"/>
              </w:rPr>
              <w:t xml:space="preserve"> virtually</w:t>
            </w:r>
            <w:r w:rsidRPr="005E2BF6">
              <w:rPr>
                <w:rFonts w:ascii="Arial" w:hAnsi="Arial" w:cs="Arial"/>
                <w:sz w:val="24"/>
                <w:szCs w:val="24"/>
              </w:rPr>
              <w:t xml:space="preserve"> to identify and assess their needs and make appropriate planned responses which seek to improve outcomes.</w:t>
            </w:r>
          </w:p>
          <w:p w14:paraId="35C1076D" w14:textId="13E2E356" w:rsidR="00CB6541" w:rsidRPr="00CB6541" w:rsidRDefault="00CB6541" w:rsidP="00C836C6">
            <w:pPr>
              <w:spacing w:before="120" w:after="120"/>
              <w:rPr>
                <w:rFonts w:ascii="Arial" w:hAnsi="Arial" w:cs="Arial"/>
                <w:bCs/>
                <w:sz w:val="24"/>
                <w:szCs w:val="24"/>
              </w:rPr>
            </w:pPr>
          </w:p>
        </w:tc>
      </w:tr>
      <w:tr w:rsidR="0087424C" w:rsidRPr="00F511C1" w14:paraId="64E64EF5" w14:textId="77777777" w:rsidTr="0087424C">
        <w:tc>
          <w:tcPr>
            <w:tcW w:w="10485" w:type="dxa"/>
            <w:tcBorders>
              <w:top w:val="single" w:sz="4" w:space="0" w:color="auto"/>
              <w:left w:val="single" w:sz="4" w:space="0" w:color="auto"/>
              <w:bottom w:val="single" w:sz="4" w:space="0" w:color="auto"/>
              <w:right w:val="single" w:sz="4" w:space="0" w:color="auto"/>
            </w:tcBorders>
          </w:tcPr>
          <w:p w14:paraId="3AB9FDA8" w14:textId="77777777" w:rsidR="00CB6541" w:rsidRDefault="00CB6541" w:rsidP="003C57AB">
            <w:pPr>
              <w:spacing w:before="120" w:after="120"/>
              <w:rPr>
                <w:rFonts w:ascii="Arial" w:hAnsi="Arial" w:cs="Arial"/>
                <w:b/>
                <w:sz w:val="24"/>
                <w:szCs w:val="24"/>
              </w:rPr>
            </w:pPr>
          </w:p>
          <w:p w14:paraId="1601FA26" w14:textId="594B599F" w:rsidR="0087424C" w:rsidRPr="00F511C1" w:rsidRDefault="003C57AB" w:rsidP="003C57AB">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4B08D1DB" w14:textId="77777777" w:rsidTr="0087424C">
        <w:tc>
          <w:tcPr>
            <w:tcW w:w="10485" w:type="dxa"/>
            <w:tcBorders>
              <w:top w:val="single" w:sz="4" w:space="0" w:color="auto"/>
              <w:left w:val="single" w:sz="4" w:space="0" w:color="auto"/>
              <w:bottom w:val="nil"/>
              <w:right w:val="single" w:sz="4" w:space="0" w:color="auto"/>
            </w:tcBorders>
          </w:tcPr>
          <w:p w14:paraId="130BA61D" w14:textId="77777777" w:rsidR="00941DC1" w:rsidRPr="005E2BF6" w:rsidRDefault="00941DC1" w:rsidP="005E2BF6">
            <w:pPr>
              <w:pStyle w:val="ListParagraph"/>
              <w:spacing w:before="120" w:after="120" w:line="240" w:lineRule="auto"/>
              <w:ind w:left="360"/>
              <w:jc w:val="both"/>
              <w:rPr>
                <w:rFonts w:ascii="Arial" w:hAnsi="Arial" w:cs="Arial"/>
                <w:sz w:val="24"/>
                <w:szCs w:val="24"/>
              </w:rPr>
            </w:pPr>
          </w:p>
          <w:p w14:paraId="0B691076" w14:textId="4D373A81" w:rsidR="005E2BF6" w:rsidRPr="005E2BF6" w:rsidRDefault="00941DC1" w:rsidP="005E2BF6">
            <w:pPr>
              <w:pStyle w:val="ListParagraph"/>
              <w:numPr>
                <w:ilvl w:val="0"/>
                <w:numId w:val="19"/>
              </w:numPr>
              <w:spacing w:before="120" w:after="120" w:line="240" w:lineRule="auto"/>
              <w:jc w:val="both"/>
              <w:rPr>
                <w:rFonts w:ascii="Arial" w:hAnsi="Arial" w:cs="Arial"/>
                <w:sz w:val="24"/>
                <w:szCs w:val="24"/>
              </w:rPr>
            </w:pPr>
            <w:r w:rsidRPr="005E2BF6">
              <w:rPr>
                <w:rFonts w:ascii="Arial" w:hAnsi="Arial" w:cs="Arial"/>
                <w:sz w:val="24"/>
                <w:szCs w:val="24"/>
              </w:rPr>
              <w:t xml:space="preserve">Knowledge and Skills: Working knowledge and understanding of the work practices, processes and procedures relevant to the role in </w:t>
            </w:r>
            <w:r w:rsidR="00C35592">
              <w:rPr>
                <w:rFonts w:ascii="Arial" w:hAnsi="Arial" w:cs="Arial"/>
                <w:sz w:val="24"/>
                <w:szCs w:val="24"/>
              </w:rPr>
              <w:t>the Children's Services Support Hub.</w:t>
            </w:r>
          </w:p>
          <w:p w14:paraId="72DF810E" w14:textId="77777777" w:rsidR="005E2BF6" w:rsidRPr="005E2BF6" w:rsidRDefault="005E2BF6" w:rsidP="005E2BF6">
            <w:pPr>
              <w:pStyle w:val="ListParagraph"/>
              <w:spacing w:before="120" w:after="120" w:line="240" w:lineRule="auto"/>
              <w:ind w:left="360"/>
              <w:jc w:val="both"/>
              <w:rPr>
                <w:rFonts w:ascii="Arial" w:hAnsi="Arial" w:cs="Arial"/>
                <w:sz w:val="24"/>
                <w:szCs w:val="24"/>
              </w:rPr>
            </w:pPr>
          </w:p>
          <w:p w14:paraId="4FFBD6B7" w14:textId="0366E416" w:rsidR="005E2BF6" w:rsidRDefault="005E2BF6" w:rsidP="005E2BF6">
            <w:pPr>
              <w:pStyle w:val="ListParagraph"/>
              <w:numPr>
                <w:ilvl w:val="0"/>
                <w:numId w:val="19"/>
              </w:numPr>
              <w:spacing w:before="120" w:after="120" w:line="240" w:lineRule="auto"/>
              <w:jc w:val="both"/>
              <w:rPr>
                <w:rFonts w:ascii="Arial" w:hAnsi="Arial" w:cs="Arial"/>
                <w:sz w:val="24"/>
                <w:szCs w:val="24"/>
              </w:rPr>
            </w:pPr>
            <w:r>
              <w:rPr>
                <w:rFonts w:ascii="Arial" w:hAnsi="Arial" w:cs="Arial"/>
                <w:sz w:val="24"/>
                <w:szCs w:val="24"/>
              </w:rPr>
              <w:t>Knowledge and application of Lancashire's Continuum of Need and the Early Help Offer</w:t>
            </w:r>
          </w:p>
          <w:p w14:paraId="578DE4A4" w14:textId="77777777" w:rsidR="005E2BF6" w:rsidRPr="005E2BF6" w:rsidRDefault="005E2BF6" w:rsidP="005E2BF6">
            <w:pPr>
              <w:pStyle w:val="ListParagraph"/>
              <w:jc w:val="both"/>
              <w:rPr>
                <w:rFonts w:ascii="Arial" w:hAnsi="Arial" w:cs="Arial"/>
                <w:sz w:val="24"/>
                <w:szCs w:val="24"/>
              </w:rPr>
            </w:pPr>
          </w:p>
          <w:p w14:paraId="185C2400" w14:textId="77777777" w:rsidR="005E2BF6" w:rsidRDefault="00941DC1" w:rsidP="005E2BF6">
            <w:pPr>
              <w:pStyle w:val="ListParagraph"/>
              <w:numPr>
                <w:ilvl w:val="0"/>
                <w:numId w:val="19"/>
              </w:numPr>
              <w:spacing w:before="120" w:after="120" w:line="240" w:lineRule="auto"/>
              <w:jc w:val="both"/>
              <w:rPr>
                <w:rFonts w:ascii="Arial" w:hAnsi="Arial" w:cs="Arial"/>
                <w:sz w:val="24"/>
                <w:szCs w:val="24"/>
              </w:rPr>
            </w:pPr>
            <w:r w:rsidRPr="005E2BF6">
              <w:rPr>
                <w:rFonts w:ascii="Arial" w:hAnsi="Arial" w:cs="Arial"/>
                <w:sz w:val="24"/>
                <w:szCs w:val="24"/>
              </w:rPr>
              <w:t xml:space="preserve">Empathy and sensitivity to the needs arising from a wide range of family dynamics </w:t>
            </w:r>
          </w:p>
          <w:p w14:paraId="21DDC90D" w14:textId="77777777" w:rsidR="005E2BF6" w:rsidRPr="005E2BF6" w:rsidRDefault="005E2BF6" w:rsidP="005E2BF6">
            <w:pPr>
              <w:pStyle w:val="ListParagraph"/>
              <w:jc w:val="both"/>
              <w:rPr>
                <w:rFonts w:ascii="Arial" w:hAnsi="Arial" w:cs="Arial"/>
                <w:sz w:val="24"/>
                <w:szCs w:val="24"/>
              </w:rPr>
            </w:pPr>
          </w:p>
          <w:p w14:paraId="12A02DE4" w14:textId="77777777" w:rsidR="005E2BF6" w:rsidRDefault="00941DC1" w:rsidP="005E2BF6">
            <w:pPr>
              <w:pStyle w:val="ListParagraph"/>
              <w:numPr>
                <w:ilvl w:val="0"/>
                <w:numId w:val="19"/>
              </w:numPr>
              <w:spacing w:before="120" w:after="120" w:line="240" w:lineRule="auto"/>
              <w:jc w:val="both"/>
              <w:rPr>
                <w:rFonts w:ascii="Arial" w:hAnsi="Arial" w:cs="Arial"/>
                <w:sz w:val="24"/>
                <w:szCs w:val="24"/>
              </w:rPr>
            </w:pPr>
            <w:r w:rsidRPr="005E2BF6">
              <w:rPr>
                <w:rFonts w:ascii="Arial" w:hAnsi="Arial" w:cs="Arial"/>
                <w:sz w:val="24"/>
                <w:szCs w:val="24"/>
              </w:rPr>
              <w:t xml:space="preserve">Good understanding of the developmental milestones of children and young people and the issues that affect them in contemporary society </w:t>
            </w:r>
          </w:p>
          <w:p w14:paraId="260D42B2" w14:textId="77777777" w:rsidR="005E2BF6" w:rsidRPr="005E2BF6" w:rsidRDefault="005E2BF6" w:rsidP="005E2BF6">
            <w:pPr>
              <w:pStyle w:val="ListParagraph"/>
              <w:jc w:val="both"/>
              <w:rPr>
                <w:rFonts w:ascii="Arial" w:hAnsi="Arial" w:cs="Arial"/>
                <w:sz w:val="24"/>
                <w:szCs w:val="24"/>
              </w:rPr>
            </w:pPr>
          </w:p>
          <w:p w14:paraId="5B111C71" w14:textId="77777777" w:rsidR="005E2BF6" w:rsidRDefault="00941DC1" w:rsidP="005E2BF6">
            <w:pPr>
              <w:pStyle w:val="ListParagraph"/>
              <w:numPr>
                <w:ilvl w:val="0"/>
                <w:numId w:val="19"/>
              </w:numPr>
              <w:spacing w:before="120" w:after="120" w:line="240" w:lineRule="auto"/>
              <w:jc w:val="both"/>
              <w:rPr>
                <w:rFonts w:ascii="Arial" w:hAnsi="Arial" w:cs="Arial"/>
                <w:sz w:val="24"/>
                <w:szCs w:val="24"/>
              </w:rPr>
            </w:pPr>
            <w:r w:rsidRPr="005E2BF6">
              <w:rPr>
                <w:rFonts w:ascii="Arial" w:hAnsi="Arial" w:cs="Arial"/>
                <w:sz w:val="24"/>
                <w:szCs w:val="24"/>
              </w:rPr>
              <w:t xml:space="preserve">Good analytical, assessment and critical reflection skills </w:t>
            </w:r>
          </w:p>
          <w:p w14:paraId="3A7CF321" w14:textId="77777777" w:rsidR="005E2BF6" w:rsidRPr="005E2BF6" w:rsidRDefault="005E2BF6" w:rsidP="005E2BF6">
            <w:pPr>
              <w:pStyle w:val="ListParagraph"/>
              <w:jc w:val="both"/>
              <w:rPr>
                <w:rFonts w:ascii="Arial" w:hAnsi="Arial" w:cs="Arial"/>
                <w:sz w:val="24"/>
                <w:szCs w:val="24"/>
              </w:rPr>
            </w:pPr>
          </w:p>
          <w:p w14:paraId="726FEDF5" w14:textId="6F89989C" w:rsidR="00941DC1" w:rsidRPr="005E2BF6" w:rsidRDefault="00941DC1" w:rsidP="005E2BF6">
            <w:pPr>
              <w:pStyle w:val="ListParagraph"/>
              <w:numPr>
                <w:ilvl w:val="0"/>
                <w:numId w:val="19"/>
              </w:numPr>
              <w:spacing w:before="120" w:after="120" w:line="240" w:lineRule="auto"/>
              <w:jc w:val="both"/>
              <w:rPr>
                <w:rFonts w:ascii="Arial" w:hAnsi="Arial" w:cs="Arial"/>
                <w:sz w:val="24"/>
                <w:szCs w:val="24"/>
              </w:rPr>
            </w:pPr>
            <w:r w:rsidRPr="005E2BF6">
              <w:rPr>
                <w:rFonts w:ascii="Arial" w:hAnsi="Arial" w:cs="Arial"/>
                <w:sz w:val="24"/>
                <w:szCs w:val="24"/>
              </w:rPr>
              <w:t xml:space="preserve">Good written and verbal communication skills </w:t>
            </w:r>
          </w:p>
        </w:tc>
      </w:tr>
      <w:tr w:rsidR="0087424C" w:rsidRPr="00F511C1" w14:paraId="6C97F377" w14:textId="77777777" w:rsidTr="0087424C">
        <w:tc>
          <w:tcPr>
            <w:tcW w:w="10485" w:type="dxa"/>
            <w:tcBorders>
              <w:top w:val="nil"/>
              <w:left w:val="single" w:sz="4" w:space="0" w:color="auto"/>
              <w:bottom w:val="nil"/>
              <w:right w:val="single" w:sz="4" w:space="0" w:color="auto"/>
            </w:tcBorders>
          </w:tcPr>
          <w:p w14:paraId="05DC3989" w14:textId="77777777" w:rsidR="0087424C" w:rsidRPr="005E2BF6" w:rsidRDefault="0087424C" w:rsidP="005E2BF6">
            <w:pPr>
              <w:pStyle w:val="ListParagraph"/>
              <w:numPr>
                <w:ilvl w:val="0"/>
                <w:numId w:val="19"/>
              </w:numPr>
              <w:spacing w:before="120" w:after="120" w:line="240" w:lineRule="auto"/>
              <w:jc w:val="both"/>
              <w:rPr>
                <w:rFonts w:ascii="Arial" w:hAnsi="Arial" w:cs="Arial"/>
                <w:b/>
                <w:sz w:val="24"/>
                <w:szCs w:val="24"/>
              </w:rPr>
            </w:pPr>
            <w:r w:rsidRPr="005E2BF6">
              <w:rPr>
                <w:rFonts w:ascii="Arial" w:hAnsi="Arial" w:cs="Arial"/>
                <w:sz w:val="24"/>
                <w:szCs w:val="24"/>
              </w:rPr>
              <w:t xml:space="preserve">Ability to </w:t>
            </w:r>
            <w:r w:rsidR="007C117F" w:rsidRPr="005E2BF6">
              <w:rPr>
                <w:rFonts w:ascii="Arial" w:hAnsi="Arial" w:cs="Arial"/>
                <w:sz w:val="24"/>
                <w:szCs w:val="24"/>
              </w:rPr>
              <w:t xml:space="preserve">use basic computer technology </w:t>
            </w:r>
          </w:p>
        </w:tc>
      </w:tr>
      <w:tr w:rsidR="0087424C" w:rsidRPr="00F511C1" w14:paraId="45537AB6" w14:textId="77777777" w:rsidTr="0087424C">
        <w:tc>
          <w:tcPr>
            <w:tcW w:w="10485" w:type="dxa"/>
            <w:tcBorders>
              <w:top w:val="nil"/>
              <w:left w:val="single" w:sz="4" w:space="0" w:color="auto"/>
              <w:bottom w:val="nil"/>
              <w:right w:val="single" w:sz="4" w:space="0" w:color="auto"/>
            </w:tcBorders>
          </w:tcPr>
          <w:p w14:paraId="1C640D00" w14:textId="77777777" w:rsidR="0087424C" w:rsidRPr="00537DC9" w:rsidRDefault="0087424C" w:rsidP="005E2BF6">
            <w:pPr>
              <w:pStyle w:val="ListParagraph"/>
              <w:numPr>
                <w:ilvl w:val="0"/>
                <w:numId w:val="19"/>
              </w:numPr>
              <w:spacing w:before="120" w:after="120" w:line="240" w:lineRule="auto"/>
              <w:jc w:val="both"/>
              <w:rPr>
                <w:rFonts w:ascii="Arial" w:hAnsi="Arial" w:cs="Arial"/>
                <w:sz w:val="24"/>
                <w:szCs w:val="24"/>
              </w:rPr>
            </w:pPr>
            <w:r w:rsidRPr="00A240E8">
              <w:rPr>
                <w:rFonts w:ascii="Arial" w:hAnsi="Arial" w:cs="Arial"/>
                <w:sz w:val="24"/>
                <w:szCs w:val="24"/>
              </w:rPr>
              <w:t xml:space="preserve">Ability to </w:t>
            </w:r>
            <w:r w:rsidR="007C117F">
              <w:rPr>
                <w:rFonts w:ascii="Arial" w:hAnsi="Arial" w:cs="Arial"/>
                <w:sz w:val="24"/>
                <w:szCs w:val="24"/>
              </w:rPr>
              <w:t xml:space="preserve">learn and understand theoretical concepts, legal frameworks and to work within policy and procedure </w:t>
            </w:r>
          </w:p>
        </w:tc>
      </w:tr>
      <w:tr w:rsidR="0087424C" w:rsidRPr="00F511C1" w14:paraId="04B361E5" w14:textId="77777777" w:rsidTr="0087424C">
        <w:tc>
          <w:tcPr>
            <w:tcW w:w="10485" w:type="dxa"/>
            <w:tcBorders>
              <w:top w:val="nil"/>
              <w:left w:val="single" w:sz="4" w:space="0" w:color="auto"/>
              <w:bottom w:val="nil"/>
              <w:right w:val="single" w:sz="4" w:space="0" w:color="auto"/>
            </w:tcBorders>
          </w:tcPr>
          <w:p w14:paraId="2E977D6C" w14:textId="7AED18C3" w:rsidR="0087424C" w:rsidRPr="005E2BF6" w:rsidRDefault="0087424C" w:rsidP="005E2BF6">
            <w:pPr>
              <w:spacing w:before="120" w:after="120" w:line="240" w:lineRule="auto"/>
              <w:jc w:val="both"/>
              <w:rPr>
                <w:rFonts w:ascii="Arial" w:hAnsi="Arial" w:cs="Arial"/>
                <w:sz w:val="24"/>
                <w:szCs w:val="24"/>
              </w:rPr>
            </w:pPr>
          </w:p>
        </w:tc>
      </w:tr>
      <w:tr w:rsidR="0087424C" w:rsidRPr="00F511C1" w14:paraId="71B4CC68" w14:textId="77777777" w:rsidTr="0087424C">
        <w:tc>
          <w:tcPr>
            <w:tcW w:w="10485" w:type="dxa"/>
            <w:tcBorders>
              <w:top w:val="nil"/>
              <w:left w:val="single" w:sz="4" w:space="0" w:color="auto"/>
              <w:bottom w:val="nil"/>
              <w:right w:val="single" w:sz="4" w:space="0" w:color="auto"/>
            </w:tcBorders>
          </w:tcPr>
          <w:p w14:paraId="70BF3082" w14:textId="358AA101" w:rsidR="0087424C" w:rsidRPr="005E2BF6" w:rsidRDefault="007C117F" w:rsidP="005E2BF6">
            <w:pPr>
              <w:pStyle w:val="ListParagraph"/>
              <w:numPr>
                <w:ilvl w:val="0"/>
                <w:numId w:val="19"/>
              </w:numPr>
              <w:spacing w:before="120" w:after="120" w:line="240" w:lineRule="auto"/>
              <w:jc w:val="both"/>
              <w:rPr>
                <w:rFonts w:ascii="Arial" w:hAnsi="Arial" w:cs="Arial"/>
                <w:b/>
                <w:sz w:val="24"/>
                <w:szCs w:val="24"/>
              </w:rPr>
            </w:pPr>
            <w:r w:rsidRPr="005E2BF6">
              <w:rPr>
                <w:rFonts w:ascii="Arial" w:hAnsi="Arial" w:cs="Arial"/>
                <w:sz w:val="24"/>
                <w:szCs w:val="24"/>
              </w:rPr>
              <w:t xml:space="preserve">Ability to work with </w:t>
            </w:r>
            <w:r w:rsidR="00941DC1" w:rsidRPr="005E2BF6">
              <w:rPr>
                <w:rFonts w:ascii="Arial" w:hAnsi="Arial" w:cs="Arial"/>
                <w:sz w:val="24"/>
                <w:szCs w:val="24"/>
              </w:rPr>
              <w:t xml:space="preserve">competing demands </w:t>
            </w:r>
          </w:p>
        </w:tc>
      </w:tr>
      <w:tr w:rsidR="0087424C" w:rsidRPr="00F511C1" w14:paraId="25E73D74" w14:textId="77777777" w:rsidTr="0087424C">
        <w:tc>
          <w:tcPr>
            <w:tcW w:w="10485" w:type="dxa"/>
            <w:tcBorders>
              <w:top w:val="nil"/>
              <w:left w:val="single" w:sz="4" w:space="0" w:color="auto"/>
              <w:bottom w:val="nil"/>
              <w:right w:val="single" w:sz="4" w:space="0" w:color="auto"/>
            </w:tcBorders>
          </w:tcPr>
          <w:p w14:paraId="4012A240" w14:textId="77777777" w:rsidR="0087424C" w:rsidRPr="00537DC9" w:rsidRDefault="007C117F" w:rsidP="005E2BF6">
            <w:pPr>
              <w:pStyle w:val="ListParagraph"/>
              <w:numPr>
                <w:ilvl w:val="0"/>
                <w:numId w:val="19"/>
              </w:numPr>
              <w:spacing w:before="120" w:after="120" w:line="240" w:lineRule="auto"/>
              <w:jc w:val="both"/>
              <w:rPr>
                <w:rFonts w:ascii="Arial" w:hAnsi="Arial" w:cs="Arial"/>
                <w:b/>
                <w:sz w:val="24"/>
                <w:szCs w:val="24"/>
              </w:rPr>
            </w:pPr>
            <w:r>
              <w:rPr>
                <w:rFonts w:ascii="Arial" w:hAnsi="Arial" w:cs="Arial"/>
                <w:sz w:val="24"/>
                <w:szCs w:val="24"/>
              </w:rPr>
              <w:t xml:space="preserve">Ability to use supervision positively and to contribute to the performance management process </w:t>
            </w:r>
          </w:p>
        </w:tc>
      </w:tr>
      <w:tr w:rsidR="007C117F" w:rsidRPr="00F511C1" w14:paraId="6DF834D4" w14:textId="77777777" w:rsidTr="00A14E73">
        <w:tc>
          <w:tcPr>
            <w:tcW w:w="10485" w:type="dxa"/>
            <w:tcBorders>
              <w:top w:val="nil"/>
              <w:left w:val="single" w:sz="4" w:space="0" w:color="auto"/>
              <w:bottom w:val="nil"/>
              <w:right w:val="single" w:sz="4" w:space="0" w:color="auto"/>
            </w:tcBorders>
          </w:tcPr>
          <w:p w14:paraId="332D5A91" w14:textId="77777777" w:rsidR="007C117F" w:rsidRPr="00537DC9" w:rsidRDefault="007C117F" w:rsidP="005E2BF6">
            <w:pPr>
              <w:pStyle w:val="ListParagraph"/>
              <w:numPr>
                <w:ilvl w:val="0"/>
                <w:numId w:val="19"/>
              </w:numPr>
              <w:spacing w:before="120" w:after="120" w:line="240" w:lineRule="auto"/>
              <w:jc w:val="both"/>
              <w:rPr>
                <w:rFonts w:ascii="Arial" w:hAnsi="Arial" w:cs="Arial"/>
                <w:sz w:val="24"/>
                <w:szCs w:val="24"/>
              </w:rPr>
            </w:pPr>
            <w:r>
              <w:rPr>
                <w:rFonts w:ascii="Arial" w:hAnsi="Arial" w:cs="Arial"/>
                <w:sz w:val="24"/>
                <w:szCs w:val="24"/>
              </w:rPr>
              <w:lastRenderedPageBreak/>
              <w:t xml:space="preserve">Ability to work as an effective team member </w:t>
            </w:r>
          </w:p>
        </w:tc>
      </w:tr>
      <w:tr w:rsidR="007C117F" w:rsidRPr="00F511C1" w14:paraId="0165C079" w14:textId="77777777" w:rsidTr="00A14E73">
        <w:tc>
          <w:tcPr>
            <w:tcW w:w="10485" w:type="dxa"/>
            <w:tcBorders>
              <w:top w:val="nil"/>
              <w:left w:val="single" w:sz="4" w:space="0" w:color="auto"/>
              <w:bottom w:val="nil"/>
              <w:right w:val="single" w:sz="4" w:space="0" w:color="auto"/>
            </w:tcBorders>
          </w:tcPr>
          <w:p w14:paraId="660FA625" w14:textId="77777777" w:rsidR="007C117F" w:rsidRPr="00537DC9" w:rsidRDefault="007C117F" w:rsidP="005E2BF6">
            <w:pPr>
              <w:pStyle w:val="ListParagraph"/>
              <w:numPr>
                <w:ilvl w:val="0"/>
                <w:numId w:val="19"/>
              </w:numPr>
              <w:spacing w:before="120" w:after="120" w:line="240" w:lineRule="auto"/>
              <w:jc w:val="both"/>
              <w:rPr>
                <w:rFonts w:ascii="Arial" w:hAnsi="Arial" w:cs="Arial"/>
                <w:sz w:val="24"/>
                <w:szCs w:val="24"/>
              </w:rPr>
            </w:pPr>
            <w:r>
              <w:rPr>
                <w:rFonts w:ascii="Arial" w:hAnsi="Arial" w:cs="Arial"/>
                <w:sz w:val="24"/>
                <w:szCs w:val="24"/>
              </w:rPr>
              <w:t xml:space="preserve">Ability to respond positively and effectively to children and their families, promoting 'working in partnership' at all times </w:t>
            </w:r>
          </w:p>
        </w:tc>
      </w:tr>
      <w:tr w:rsidR="007C117F" w:rsidRPr="00F511C1" w14:paraId="7F2B4529" w14:textId="77777777" w:rsidTr="00A14E73">
        <w:tc>
          <w:tcPr>
            <w:tcW w:w="10485" w:type="dxa"/>
            <w:tcBorders>
              <w:top w:val="nil"/>
              <w:left w:val="single" w:sz="4" w:space="0" w:color="auto"/>
              <w:bottom w:val="nil"/>
              <w:right w:val="single" w:sz="4" w:space="0" w:color="auto"/>
            </w:tcBorders>
          </w:tcPr>
          <w:p w14:paraId="37958C11" w14:textId="77777777" w:rsidR="007C117F" w:rsidRPr="00537DC9" w:rsidRDefault="007C117F" w:rsidP="005E2BF6">
            <w:pPr>
              <w:pStyle w:val="ListParagraph"/>
              <w:numPr>
                <w:ilvl w:val="0"/>
                <w:numId w:val="19"/>
              </w:numPr>
              <w:spacing w:before="120" w:after="120" w:line="240" w:lineRule="auto"/>
              <w:jc w:val="both"/>
              <w:rPr>
                <w:rFonts w:ascii="Arial" w:hAnsi="Arial" w:cs="Arial"/>
                <w:sz w:val="24"/>
                <w:szCs w:val="24"/>
              </w:rPr>
            </w:pPr>
            <w:r>
              <w:rPr>
                <w:rFonts w:ascii="Arial" w:hAnsi="Arial" w:cs="Arial"/>
                <w:sz w:val="24"/>
                <w:szCs w:val="24"/>
              </w:rPr>
              <w:t xml:space="preserve">Ability to work in partnership with other professionals/agencies </w:t>
            </w:r>
          </w:p>
        </w:tc>
      </w:tr>
      <w:tr w:rsidR="007C117F" w:rsidRPr="00F511C1" w14:paraId="0CC981B7" w14:textId="77777777" w:rsidTr="00A14E73">
        <w:tc>
          <w:tcPr>
            <w:tcW w:w="10485" w:type="dxa"/>
            <w:tcBorders>
              <w:top w:val="nil"/>
              <w:left w:val="single" w:sz="4" w:space="0" w:color="auto"/>
              <w:bottom w:val="nil"/>
              <w:right w:val="single" w:sz="4" w:space="0" w:color="auto"/>
            </w:tcBorders>
          </w:tcPr>
          <w:p w14:paraId="3A092B28" w14:textId="77777777" w:rsidR="007C117F" w:rsidRDefault="007C117F" w:rsidP="005E2BF6">
            <w:pPr>
              <w:pStyle w:val="ListParagraph"/>
              <w:numPr>
                <w:ilvl w:val="0"/>
                <w:numId w:val="19"/>
              </w:numPr>
              <w:spacing w:before="120" w:after="120" w:line="240" w:lineRule="auto"/>
              <w:jc w:val="both"/>
              <w:rPr>
                <w:rFonts w:ascii="Arial" w:hAnsi="Arial" w:cs="Arial"/>
                <w:sz w:val="24"/>
                <w:szCs w:val="24"/>
              </w:rPr>
            </w:pPr>
            <w:r>
              <w:rPr>
                <w:rFonts w:ascii="Arial" w:hAnsi="Arial" w:cs="Arial"/>
                <w:sz w:val="24"/>
                <w:szCs w:val="24"/>
              </w:rPr>
              <w:t xml:space="preserve">Ability to respond positively to training and development opportunities </w:t>
            </w:r>
          </w:p>
        </w:tc>
      </w:tr>
      <w:tr w:rsidR="007C117F" w:rsidRPr="00F511C1" w14:paraId="79FA7E5F" w14:textId="77777777" w:rsidTr="00A14E73">
        <w:tc>
          <w:tcPr>
            <w:tcW w:w="10485" w:type="dxa"/>
            <w:tcBorders>
              <w:top w:val="nil"/>
              <w:left w:val="single" w:sz="4" w:space="0" w:color="auto"/>
              <w:bottom w:val="nil"/>
              <w:right w:val="single" w:sz="4" w:space="0" w:color="auto"/>
            </w:tcBorders>
          </w:tcPr>
          <w:p w14:paraId="2981F757" w14:textId="77777777" w:rsidR="007C117F" w:rsidRDefault="00256580" w:rsidP="005E2BF6">
            <w:pPr>
              <w:pStyle w:val="ListParagraph"/>
              <w:numPr>
                <w:ilvl w:val="0"/>
                <w:numId w:val="19"/>
              </w:numPr>
              <w:spacing w:before="120" w:after="120" w:line="240" w:lineRule="auto"/>
              <w:jc w:val="both"/>
              <w:rPr>
                <w:rFonts w:ascii="Arial" w:hAnsi="Arial" w:cs="Arial"/>
                <w:sz w:val="24"/>
                <w:szCs w:val="24"/>
              </w:rPr>
            </w:pPr>
            <w:r>
              <w:rPr>
                <w:rFonts w:ascii="Arial" w:hAnsi="Arial" w:cs="Arial"/>
                <w:sz w:val="24"/>
                <w:szCs w:val="24"/>
              </w:rPr>
              <w:t xml:space="preserve">Knowledge of the cultures and religions of the communities of Lancashire </w:t>
            </w:r>
          </w:p>
        </w:tc>
      </w:tr>
      <w:tr w:rsidR="0087424C" w:rsidRPr="00F511C1" w14:paraId="25D66DE2" w14:textId="77777777" w:rsidTr="0087424C">
        <w:tc>
          <w:tcPr>
            <w:tcW w:w="10485" w:type="dxa"/>
            <w:tcBorders>
              <w:top w:val="single" w:sz="4" w:space="0" w:color="auto"/>
              <w:bottom w:val="single" w:sz="4" w:space="0" w:color="auto"/>
            </w:tcBorders>
          </w:tcPr>
          <w:p w14:paraId="75D92111" w14:textId="77777777" w:rsidR="0087424C" w:rsidRPr="00F511C1" w:rsidRDefault="0087424C" w:rsidP="005E2BF6">
            <w:pPr>
              <w:spacing w:before="120" w:after="120"/>
              <w:jc w:val="both"/>
              <w:rPr>
                <w:rFonts w:ascii="Arial" w:hAnsi="Arial" w:cs="Arial"/>
                <w:b/>
                <w:sz w:val="24"/>
                <w:szCs w:val="24"/>
              </w:rPr>
            </w:pPr>
            <w:r w:rsidRPr="00F511C1">
              <w:rPr>
                <w:rFonts w:ascii="Arial" w:hAnsi="Arial" w:cs="Arial"/>
                <w:b/>
                <w:sz w:val="24"/>
                <w:szCs w:val="24"/>
              </w:rPr>
              <w:t xml:space="preserve">Other </w:t>
            </w:r>
            <w:r>
              <w:rPr>
                <w:rFonts w:ascii="Arial" w:hAnsi="Arial" w:cs="Arial"/>
                <w:b/>
                <w:sz w:val="24"/>
                <w:szCs w:val="24"/>
              </w:rPr>
              <w:t>essential requirements</w:t>
            </w:r>
          </w:p>
        </w:tc>
      </w:tr>
      <w:tr w:rsidR="0087424C" w:rsidRPr="00F511C1" w14:paraId="3C203929" w14:textId="77777777" w:rsidTr="0087424C">
        <w:tc>
          <w:tcPr>
            <w:tcW w:w="10485" w:type="dxa"/>
            <w:tcBorders>
              <w:top w:val="single" w:sz="4" w:space="0" w:color="auto"/>
              <w:bottom w:val="nil"/>
            </w:tcBorders>
          </w:tcPr>
          <w:p w14:paraId="2E422F60" w14:textId="77777777" w:rsidR="0087424C" w:rsidRPr="00B2478F" w:rsidRDefault="0087424C" w:rsidP="005E2BF6">
            <w:pPr>
              <w:pStyle w:val="ListParagraph"/>
              <w:numPr>
                <w:ilvl w:val="0"/>
                <w:numId w:val="19"/>
              </w:numPr>
              <w:spacing w:before="120" w:after="120" w:line="240" w:lineRule="auto"/>
              <w:jc w:val="both"/>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p>
        </w:tc>
      </w:tr>
      <w:tr w:rsidR="0087424C" w:rsidRPr="00F511C1" w14:paraId="49CBBD78" w14:textId="77777777" w:rsidTr="0087424C">
        <w:tc>
          <w:tcPr>
            <w:tcW w:w="10485" w:type="dxa"/>
            <w:tcBorders>
              <w:top w:val="nil"/>
              <w:bottom w:val="nil"/>
            </w:tcBorders>
          </w:tcPr>
          <w:p w14:paraId="3B3DB814" w14:textId="77777777" w:rsidR="0087424C" w:rsidRPr="00B2478F" w:rsidRDefault="00256580" w:rsidP="005E2BF6">
            <w:pPr>
              <w:pStyle w:val="ListParagraph"/>
              <w:numPr>
                <w:ilvl w:val="0"/>
                <w:numId w:val="19"/>
              </w:numPr>
              <w:spacing w:before="120" w:after="120" w:line="240" w:lineRule="auto"/>
              <w:jc w:val="both"/>
              <w:rPr>
                <w:rFonts w:ascii="Arial" w:hAnsi="Arial" w:cs="Arial"/>
                <w:sz w:val="24"/>
                <w:szCs w:val="24"/>
              </w:rPr>
            </w:pPr>
            <w:r>
              <w:rPr>
                <w:rFonts w:ascii="Arial" w:hAnsi="Arial" w:cs="Arial"/>
                <w:sz w:val="24"/>
                <w:szCs w:val="24"/>
              </w:rPr>
              <w:t>Commitment to health and safety</w:t>
            </w:r>
          </w:p>
        </w:tc>
      </w:tr>
      <w:tr w:rsidR="0087424C" w:rsidRPr="00F511C1" w14:paraId="660ACA08" w14:textId="77777777" w:rsidTr="0087424C">
        <w:tc>
          <w:tcPr>
            <w:tcW w:w="10485" w:type="dxa"/>
            <w:tcBorders>
              <w:top w:val="nil"/>
              <w:bottom w:val="nil"/>
            </w:tcBorders>
          </w:tcPr>
          <w:p w14:paraId="28307525" w14:textId="77777777" w:rsidR="0087424C" w:rsidRPr="00B2478F" w:rsidRDefault="0087424C" w:rsidP="005E2BF6">
            <w:pPr>
              <w:pStyle w:val="ListParagraph"/>
              <w:numPr>
                <w:ilvl w:val="0"/>
                <w:numId w:val="19"/>
              </w:numPr>
              <w:spacing w:before="120" w:after="120" w:line="240" w:lineRule="auto"/>
              <w:jc w:val="both"/>
              <w:rPr>
                <w:rFonts w:ascii="Arial" w:hAnsi="Arial" w:cs="Arial"/>
                <w:sz w:val="24"/>
                <w:szCs w:val="24"/>
              </w:rPr>
            </w:pPr>
            <w:r w:rsidRPr="00B2478F">
              <w:rPr>
                <w:rFonts w:ascii="Arial" w:hAnsi="Arial" w:cs="Arial"/>
                <w:sz w:val="24"/>
                <w:szCs w:val="24"/>
              </w:rPr>
              <w:t xml:space="preserve">Display the LCC values and behaviours at all times and </w:t>
            </w:r>
            <w:r w:rsidR="00256580">
              <w:rPr>
                <w:rFonts w:ascii="Arial" w:hAnsi="Arial" w:cs="Arial"/>
                <w:sz w:val="24"/>
                <w:szCs w:val="24"/>
              </w:rPr>
              <w:t>actively promote them in others</w:t>
            </w:r>
          </w:p>
        </w:tc>
      </w:tr>
      <w:tr w:rsidR="0087424C" w:rsidRPr="00F511C1" w14:paraId="2A41DE91" w14:textId="77777777" w:rsidTr="0087424C">
        <w:tc>
          <w:tcPr>
            <w:tcW w:w="10485" w:type="dxa"/>
            <w:tcBorders>
              <w:top w:val="nil"/>
            </w:tcBorders>
          </w:tcPr>
          <w:p w14:paraId="46F57A95" w14:textId="65DD7B69" w:rsidR="0087424C" w:rsidRDefault="0087424C" w:rsidP="005E2BF6">
            <w:pPr>
              <w:pStyle w:val="ListParagraph"/>
              <w:numPr>
                <w:ilvl w:val="0"/>
                <w:numId w:val="19"/>
              </w:numPr>
              <w:spacing w:before="120" w:after="120" w:line="240" w:lineRule="auto"/>
              <w:jc w:val="both"/>
              <w:rPr>
                <w:rFonts w:ascii="Arial" w:hAnsi="Arial" w:cs="Arial"/>
                <w:sz w:val="24"/>
                <w:szCs w:val="24"/>
              </w:rPr>
            </w:pPr>
            <w:r w:rsidRPr="00B2478F">
              <w:rPr>
                <w:rFonts w:ascii="Arial" w:hAnsi="Arial" w:cs="Arial"/>
                <w:sz w:val="24"/>
                <w:szCs w:val="24"/>
              </w:rPr>
              <w:t xml:space="preserve">This is </w:t>
            </w:r>
            <w:r w:rsidR="00711E4E">
              <w:rPr>
                <w:rFonts w:ascii="Arial" w:hAnsi="Arial" w:cs="Arial"/>
                <w:sz w:val="24"/>
                <w:szCs w:val="24"/>
              </w:rPr>
              <w:t>not</w:t>
            </w:r>
            <w:r w:rsidRPr="00B2478F">
              <w:rPr>
                <w:rFonts w:ascii="Arial" w:hAnsi="Arial" w:cs="Arial"/>
                <w:sz w:val="24"/>
                <w:szCs w:val="24"/>
              </w:rPr>
              <w:t xml:space="preserve"> essential car user post.  </w:t>
            </w:r>
          </w:p>
          <w:p w14:paraId="526C92A0" w14:textId="7CD46280" w:rsidR="0087424C" w:rsidRPr="004D79B1" w:rsidRDefault="0087424C" w:rsidP="005E2BF6">
            <w:pPr>
              <w:pStyle w:val="ListParagraph"/>
              <w:spacing w:before="120" w:after="120"/>
              <w:ind w:left="360"/>
              <w:jc w:val="both"/>
              <w:rPr>
                <w:rFonts w:ascii="Arial" w:hAnsi="Arial" w:cs="Arial"/>
                <w:i/>
                <w:sz w:val="24"/>
                <w:szCs w:val="24"/>
              </w:rPr>
            </w:pPr>
          </w:p>
        </w:tc>
      </w:tr>
    </w:tbl>
    <w:p w14:paraId="3C041D5E" w14:textId="77777777" w:rsidR="0087424C" w:rsidRPr="00F511C1" w:rsidRDefault="0087424C" w:rsidP="0087424C">
      <w:pPr>
        <w:rPr>
          <w:rFonts w:ascii="Arial" w:hAnsi="Arial" w:cs="Arial"/>
          <w:sz w:val="24"/>
          <w:szCs w:val="24"/>
        </w:rPr>
      </w:pPr>
    </w:p>
    <w:p w14:paraId="04E77DF0" w14:textId="77777777" w:rsidR="0049033C" w:rsidRPr="00784003" w:rsidRDefault="0049033C">
      <w:pPr>
        <w:rPr>
          <w:rFonts w:ascii="Arial" w:hAnsi="Arial" w:cs="Arial"/>
          <w:sz w:val="24"/>
          <w:szCs w:val="24"/>
        </w:rPr>
      </w:pPr>
    </w:p>
    <w:sectPr w:rsidR="0049033C" w:rsidRPr="00784003" w:rsidSect="00F13C00">
      <w:headerReference w:type="default" r:id="rId8"/>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973B" w14:textId="77777777" w:rsidR="003D33CA" w:rsidRDefault="003D33CA" w:rsidP="009373D4">
      <w:pPr>
        <w:spacing w:after="0" w:line="240" w:lineRule="auto"/>
      </w:pPr>
      <w:r>
        <w:separator/>
      </w:r>
    </w:p>
  </w:endnote>
  <w:endnote w:type="continuationSeparator" w:id="0">
    <w:p w14:paraId="097F06D6" w14:textId="77777777" w:rsidR="003D33CA" w:rsidRDefault="003D33CA"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5E43" w14:textId="4BCBA114" w:rsidR="000B5848" w:rsidRPr="000B5848" w:rsidRDefault="00912A9D">
    <w:pPr>
      <w:pStyle w:val="Footer"/>
      <w:rPr>
        <w:rFonts w:ascii="Arial" w:hAnsi="Arial" w:cs="Arial"/>
        <w:sz w:val="20"/>
        <w:szCs w:val="20"/>
      </w:rPr>
    </w:pPr>
    <w:r>
      <w:rPr>
        <w:rFonts w:ascii="Arial" w:hAnsi="Arial" w:cs="Arial"/>
        <w:sz w:val="20"/>
        <w:szCs w:val="20"/>
      </w:rPr>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539B" w14:textId="77777777" w:rsidR="003D33CA" w:rsidRDefault="003D33CA" w:rsidP="009373D4">
      <w:pPr>
        <w:spacing w:after="0" w:line="240" w:lineRule="auto"/>
      </w:pPr>
      <w:r>
        <w:separator/>
      </w:r>
    </w:p>
  </w:footnote>
  <w:footnote w:type="continuationSeparator" w:id="0">
    <w:p w14:paraId="0EA6ABD8" w14:textId="77777777" w:rsidR="003D33CA" w:rsidRDefault="003D33CA"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1755" w14:textId="77777777" w:rsidR="00CE75E9" w:rsidRDefault="00DB4CC2" w:rsidP="000B5848">
    <w:pPr>
      <w:pStyle w:val="Header"/>
      <w:jc w:val="right"/>
    </w:pPr>
    <w:sdt>
      <w:sdtPr>
        <w:id w:val="223650688"/>
        <w:docPartObj>
          <w:docPartGallery w:val="Watermarks"/>
          <w:docPartUnique/>
        </w:docPartObj>
      </w:sdtPr>
      <w:sdtEndPr/>
      <w:sdtContent>
        <w:r>
          <w:rPr>
            <w:noProof/>
            <w:lang w:val="en-US" w:eastAsia="en-US"/>
          </w:rPr>
          <w:pict w14:anchorId="53F49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B5848">
      <w:rPr>
        <w:noProof/>
      </w:rPr>
      <w:drawing>
        <wp:inline distT="0" distB="0" distL="0" distR="0" wp14:anchorId="69872E76" wp14:editId="020E418F">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C55D9"/>
    <w:multiLevelType w:val="hybridMultilevel"/>
    <w:tmpl w:val="580C42EA"/>
    <w:lvl w:ilvl="0" w:tplc="08090001">
      <w:start w:val="1"/>
      <w:numFmt w:val="bullet"/>
      <w:lvlText w:val=""/>
      <w:lvlJc w:val="left"/>
      <w:pPr>
        <w:ind w:left="925" w:hanging="360"/>
      </w:pPr>
      <w:rPr>
        <w:rFonts w:ascii="Symbol" w:hAnsi="Symbol" w:hint="default"/>
      </w:rPr>
    </w:lvl>
    <w:lvl w:ilvl="1" w:tplc="08090003" w:tentative="1">
      <w:start w:val="1"/>
      <w:numFmt w:val="bullet"/>
      <w:lvlText w:val="o"/>
      <w:lvlJc w:val="left"/>
      <w:pPr>
        <w:ind w:left="1645" w:hanging="360"/>
      </w:pPr>
      <w:rPr>
        <w:rFonts w:ascii="Courier New" w:hAnsi="Courier New" w:cs="Courier New" w:hint="default"/>
      </w:rPr>
    </w:lvl>
    <w:lvl w:ilvl="2" w:tplc="08090005" w:tentative="1">
      <w:start w:val="1"/>
      <w:numFmt w:val="bullet"/>
      <w:lvlText w:val=""/>
      <w:lvlJc w:val="left"/>
      <w:pPr>
        <w:ind w:left="2365" w:hanging="360"/>
      </w:pPr>
      <w:rPr>
        <w:rFonts w:ascii="Wingdings" w:hAnsi="Wingdings" w:hint="default"/>
      </w:rPr>
    </w:lvl>
    <w:lvl w:ilvl="3" w:tplc="08090001" w:tentative="1">
      <w:start w:val="1"/>
      <w:numFmt w:val="bullet"/>
      <w:lvlText w:val=""/>
      <w:lvlJc w:val="left"/>
      <w:pPr>
        <w:ind w:left="3085" w:hanging="360"/>
      </w:pPr>
      <w:rPr>
        <w:rFonts w:ascii="Symbol" w:hAnsi="Symbol" w:hint="default"/>
      </w:rPr>
    </w:lvl>
    <w:lvl w:ilvl="4" w:tplc="08090003" w:tentative="1">
      <w:start w:val="1"/>
      <w:numFmt w:val="bullet"/>
      <w:lvlText w:val="o"/>
      <w:lvlJc w:val="left"/>
      <w:pPr>
        <w:ind w:left="3805" w:hanging="360"/>
      </w:pPr>
      <w:rPr>
        <w:rFonts w:ascii="Courier New" w:hAnsi="Courier New" w:cs="Courier New" w:hint="default"/>
      </w:rPr>
    </w:lvl>
    <w:lvl w:ilvl="5" w:tplc="08090005" w:tentative="1">
      <w:start w:val="1"/>
      <w:numFmt w:val="bullet"/>
      <w:lvlText w:val=""/>
      <w:lvlJc w:val="left"/>
      <w:pPr>
        <w:ind w:left="4525" w:hanging="360"/>
      </w:pPr>
      <w:rPr>
        <w:rFonts w:ascii="Wingdings" w:hAnsi="Wingdings" w:hint="default"/>
      </w:rPr>
    </w:lvl>
    <w:lvl w:ilvl="6" w:tplc="08090001" w:tentative="1">
      <w:start w:val="1"/>
      <w:numFmt w:val="bullet"/>
      <w:lvlText w:val=""/>
      <w:lvlJc w:val="left"/>
      <w:pPr>
        <w:ind w:left="5245" w:hanging="360"/>
      </w:pPr>
      <w:rPr>
        <w:rFonts w:ascii="Symbol" w:hAnsi="Symbol" w:hint="default"/>
      </w:rPr>
    </w:lvl>
    <w:lvl w:ilvl="7" w:tplc="08090003" w:tentative="1">
      <w:start w:val="1"/>
      <w:numFmt w:val="bullet"/>
      <w:lvlText w:val="o"/>
      <w:lvlJc w:val="left"/>
      <w:pPr>
        <w:ind w:left="5965" w:hanging="360"/>
      </w:pPr>
      <w:rPr>
        <w:rFonts w:ascii="Courier New" w:hAnsi="Courier New" w:cs="Courier New" w:hint="default"/>
      </w:rPr>
    </w:lvl>
    <w:lvl w:ilvl="8" w:tplc="08090005" w:tentative="1">
      <w:start w:val="1"/>
      <w:numFmt w:val="bullet"/>
      <w:lvlText w:val=""/>
      <w:lvlJc w:val="left"/>
      <w:pPr>
        <w:ind w:left="6685" w:hanging="360"/>
      </w:pPr>
      <w:rPr>
        <w:rFonts w:ascii="Wingdings" w:hAnsi="Wingdings" w:hint="default"/>
      </w:rPr>
    </w:lvl>
  </w:abstractNum>
  <w:abstractNum w:abstractNumId="3" w15:restartNumberingAfterBreak="0">
    <w:nsid w:val="0DE81EB8"/>
    <w:multiLevelType w:val="hybridMultilevel"/>
    <w:tmpl w:val="3522E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B055FF1"/>
    <w:multiLevelType w:val="hybridMultilevel"/>
    <w:tmpl w:val="D18A3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655677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9236808">
    <w:abstractNumId w:val="13"/>
  </w:num>
  <w:num w:numId="3" w16cid:durableId="2090348846">
    <w:abstractNumId w:val="12"/>
  </w:num>
  <w:num w:numId="4" w16cid:durableId="1112017529">
    <w:abstractNumId w:val="15"/>
  </w:num>
  <w:num w:numId="5" w16cid:durableId="250361901">
    <w:abstractNumId w:val="7"/>
  </w:num>
  <w:num w:numId="6" w16cid:durableId="263536837">
    <w:abstractNumId w:val="17"/>
  </w:num>
  <w:num w:numId="7" w16cid:durableId="1186016899">
    <w:abstractNumId w:val="8"/>
  </w:num>
  <w:num w:numId="8" w16cid:durableId="113406288">
    <w:abstractNumId w:val="20"/>
  </w:num>
  <w:num w:numId="9" w16cid:durableId="732119165">
    <w:abstractNumId w:val="6"/>
  </w:num>
  <w:num w:numId="10" w16cid:durableId="774863065">
    <w:abstractNumId w:val="9"/>
  </w:num>
  <w:num w:numId="11" w16cid:durableId="705106029">
    <w:abstractNumId w:val="0"/>
  </w:num>
  <w:num w:numId="12" w16cid:durableId="1093745988">
    <w:abstractNumId w:val="10"/>
  </w:num>
  <w:num w:numId="13" w16cid:durableId="2097164005">
    <w:abstractNumId w:val="4"/>
  </w:num>
  <w:num w:numId="14" w16cid:durableId="1722821100">
    <w:abstractNumId w:val="5"/>
  </w:num>
  <w:num w:numId="15" w16cid:durableId="2053840439">
    <w:abstractNumId w:val="16"/>
  </w:num>
  <w:num w:numId="16" w16cid:durableId="686099130">
    <w:abstractNumId w:val="19"/>
  </w:num>
  <w:num w:numId="17" w16cid:durableId="1849754876">
    <w:abstractNumId w:val="1"/>
  </w:num>
  <w:num w:numId="18" w16cid:durableId="1060715842">
    <w:abstractNumId w:val="14"/>
  </w:num>
  <w:num w:numId="19" w16cid:durableId="995037747">
    <w:abstractNumId w:val="3"/>
  </w:num>
  <w:num w:numId="20" w16cid:durableId="1772236287">
    <w:abstractNumId w:val="11"/>
  </w:num>
  <w:num w:numId="21" w16cid:durableId="525483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6C04"/>
    <w:rsid w:val="00065BA3"/>
    <w:rsid w:val="00077CAB"/>
    <w:rsid w:val="00081256"/>
    <w:rsid w:val="00084A65"/>
    <w:rsid w:val="00086314"/>
    <w:rsid w:val="00092AA1"/>
    <w:rsid w:val="000B5848"/>
    <w:rsid w:val="000E376A"/>
    <w:rsid w:val="0012367F"/>
    <w:rsid w:val="001263A2"/>
    <w:rsid w:val="00134ADE"/>
    <w:rsid w:val="00137080"/>
    <w:rsid w:val="00167572"/>
    <w:rsid w:val="00173FCC"/>
    <w:rsid w:val="00183256"/>
    <w:rsid w:val="00184609"/>
    <w:rsid w:val="001924E0"/>
    <w:rsid w:val="001A7954"/>
    <w:rsid w:val="001D6145"/>
    <w:rsid w:val="001E1319"/>
    <w:rsid w:val="002210B5"/>
    <w:rsid w:val="002318EF"/>
    <w:rsid w:val="00256580"/>
    <w:rsid w:val="002A2398"/>
    <w:rsid w:val="002A6345"/>
    <w:rsid w:val="002A6641"/>
    <w:rsid w:val="002D03B5"/>
    <w:rsid w:val="002E1E14"/>
    <w:rsid w:val="002E7FA3"/>
    <w:rsid w:val="002F69F4"/>
    <w:rsid w:val="003010A5"/>
    <w:rsid w:val="00304DDE"/>
    <w:rsid w:val="00314AE2"/>
    <w:rsid w:val="00316031"/>
    <w:rsid w:val="0034427B"/>
    <w:rsid w:val="003958D8"/>
    <w:rsid w:val="00396422"/>
    <w:rsid w:val="003A124E"/>
    <w:rsid w:val="003B5159"/>
    <w:rsid w:val="003C0B08"/>
    <w:rsid w:val="003C57AB"/>
    <w:rsid w:val="003D01A7"/>
    <w:rsid w:val="003D33CA"/>
    <w:rsid w:val="003D6C55"/>
    <w:rsid w:val="003E16B3"/>
    <w:rsid w:val="0042788C"/>
    <w:rsid w:val="00436D06"/>
    <w:rsid w:val="00454521"/>
    <w:rsid w:val="00460A29"/>
    <w:rsid w:val="004719A7"/>
    <w:rsid w:val="00483CBF"/>
    <w:rsid w:val="0049033C"/>
    <w:rsid w:val="004A316D"/>
    <w:rsid w:val="004A6335"/>
    <w:rsid w:val="004B7DF4"/>
    <w:rsid w:val="004E0A78"/>
    <w:rsid w:val="004E7E0E"/>
    <w:rsid w:val="004F0FA5"/>
    <w:rsid w:val="0050043B"/>
    <w:rsid w:val="00507495"/>
    <w:rsid w:val="00534BB6"/>
    <w:rsid w:val="00536E13"/>
    <w:rsid w:val="00591802"/>
    <w:rsid w:val="00592405"/>
    <w:rsid w:val="005971BA"/>
    <w:rsid w:val="005A0127"/>
    <w:rsid w:val="005A5904"/>
    <w:rsid w:val="005B45FC"/>
    <w:rsid w:val="005C5B48"/>
    <w:rsid w:val="005E2BF6"/>
    <w:rsid w:val="005E3EAB"/>
    <w:rsid w:val="005E4780"/>
    <w:rsid w:val="005F0B89"/>
    <w:rsid w:val="005F6352"/>
    <w:rsid w:val="006026D2"/>
    <w:rsid w:val="00625C17"/>
    <w:rsid w:val="00627BBB"/>
    <w:rsid w:val="00627F64"/>
    <w:rsid w:val="00645191"/>
    <w:rsid w:val="00686894"/>
    <w:rsid w:val="006B25CE"/>
    <w:rsid w:val="006B5443"/>
    <w:rsid w:val="006D331F"/>
    <w:rsid w:val="006D46EA"/>
    <w:rsid w:val="006F10A8"/>
    <w:rsid w:val="007027F0"/>
    <w:rsid w:val="0070453D"/>
    <w:rsid w:val="00707946"/>
    <w:rsid w:val="00707A73"/>
    <w:rsid w:val="00711E4E"/>
    <w:rsid w:val="00715533"/>
    <w:rsid w:val="0072181F"/>
    <w:rsid w:val="00722696"/>
    <w:rsid w:val="00725524"/>
    <w:rsid w:val="00725DAB"/>
    <w:rsid w:val="00727B6E"/>
    <w:rsid w:val="00737F6F"/>
    <w:rsid w:val="00746CF0"/>
    <w:rsid w:val="00750C8E"/>
    <w:rsid w:val="00776E01"/>
    <w:rsid w:val="00783CD4"/>
    <w:rsid w:val="00784003"/>
    <w:rsid w:val="0079262E"/>
    <w:rsid w:val="00793C75"/>
    <w:rsid w:val="00795E8C"/>
    <w:rsid w:val="007A2612"/>
    <w:rsid w:val="007B562B"/>
    <w:rsid w:val="007C117F"/>
    <w:rsid w:val="007F3D70"/>
    <w:rsid w:val="00804006"/>
    <w:rsid w:val="00832780"/>
    <w:rsid w:val="00834218"/>
    <w:rsid w:val="00847D20"/>
    <w:rsid w:val="00854A68"/>
    <w:rsid w:val="00855E4C"/>
    <w:rsid w:val="0087424C"/>
    <w:rsid w:val="00877FD0"/>
    <w:rsid w:val="00897E4C"/>
    <w:rsid w:val="008A6083"/>
    <w:rsid w:val="008B38C2"/>
    <w:rsid w:val="008E50FB"/>
    <w:rsid w:val="008E6F52"/>
    <w:rsid w:val="008E779F"/>
    <w:rsid w:val="00912A9D"/>
    <w:rsid w:val="00913B3E"/>
    <w:rsid w:val="00936A7A"/>
    <w:rsid w:val="009373D4"/>
    <w:rsid w:val="00941DC1"/>
    <w:rsid w:val="00942209"/>
    <w:rsid w:val="0094645D"/>
    <w:rsid w:val="00946AFC"/>
    <w:rsid w:val="00955CC9"/>
    <w:rsid w:val="00961964"/>
    <w:rsid w:val="00963600"/>
    <w:rsid w:val="0096440C"/>
    <w:rsid w:val="00994A8A"/>
    <w:rsid w:val="0099662C"/>
    <w:rsid w:val="009A03CF"/>
    <w:rsid w:val="009A2E79"/>
    <w:rsid w:val="009B6E64"/>
    <w:rsid w:val="009C49D8"/>
    <w:rsid w:val="009D203A"/>
    <w:rsid w:val="009D26C7"/>
    <w:rsid w:val="009D27FD"/>
    <w:rsid w:val="009E6908"/>
    <w:rsid w:val="00A032B0"/>
    <w:rsid w:val="00A113C9"/>
    <w:rsid w:val="00A14E73"/>
    <w:rsid w:val="00A30D84"/>
    <w:rsid w:val="00A45726"/>
    <w:rsid w:val="00A54C31"/>
    <w:rsid w:val="00A6051C"/>
    <w:rsid w:val="00A72A27"/>
    <w:rsid w:val="00A7451A"/>
    <w:rsid w:val="00A7579B"/>
    <w:rsid w:val="00A765D5"/>
    <w:rsid w:val="00A80095"/>
    <w:rsid w:val="00A86C7F"/>
    <w:rsid w:val="00A96BF2"/>
    <w:rsid w:val="00AA0B2A"/>
    <w:rsid w:val="00AB23DE"/>
    <w:rsid w:val="00AB377F"/>
    <w:rsid w:val="00AC6638"/>
    <w:rsid w:val="00AF7A4E"/>
    <w:rsid w:val="00B17ADE"/>
    <w:rsid w:val="00B370D2"/>
    <w:rsid w:val="00B43BD6"/>
    <w:rsid w:val="00B46910"/>
    <w:rsid w:val="00B53E11"/>
    <w:rsid w:val="00B54BF9"/>
    <w:rsid w:val="00B80BCF"/>
    <w:rsid w:val="00B85B83"/>
    <w:rsid w:val="00B860A2"/>
    <w:rsid w:val="00B865FE"/>
    <w:rsid w:val="00BA43A9"/>
    <w:rsid w:val="00BB1858"/>
    <w:rsid w:val="00BB2601"/>
    <w:rsid w:val="00BC5C69"/>
    <w:rsid w:val="00BE2257"/>
    <w:rsid w:val="00BE7A35"/>
    <w:rsid w:val="00C31061"/>
    <w:rsid w:val="00C31ED2"/>
    <w:rsid w:val="00C35592"/>
    <w:rsid w:val="00C51214"/>
    <w:rsid w:val="00C54F63"/>
    <w:rsid w:val="00C57047"/>
    <w:rsid w:val="00C62F7A"/>
    <w:rsid w:val="00C836C6"/>
    <w:rsid w:val="00C94A81"/>
    <w:rsid w:val="00C97F7F"/>
    <w:rsid w:val="00CB056F"/>
    <w:rsid w:val="00CB2D63"/>
    <w:rsid w:val="00CB4F7A"/>
    <w:rsid w:val="00CB6541"/>
    <w:rsid w:val="00CC1A53"/>
    <w:rsid w:val="00CC6993"/>
    <w:rsid w:val="00CE29E4"/>
    <w:rsid w:val="00CE75E9"/>
    <w:rsid w:val="00D162D3"/>
    <w:rsid w:val="00D256F1"/>
    <w:rsid w:val="00D46FFD"/>
    <w:rsid w:val="00D47D92"/>
    <w:rsid w:val="00D5682A"/>
    <w:rsid w:val="00D64A7D"/>
    <w:rsid w:val="00D977B2"/>
    <w:rsid w:val="00DA1F6E"/>
    <w:rsid w:val="00DA45C7"/>
    <w:rsid w:val="00DB2B00"/>
    <w:rsid w:val="00DB4CC2"/>
    <w:rsid w:val="00DC4CB0"/>
    <w:rsid w:val="00DC77BF"/>
    <w:rsid w:val="00DD2DA6"/>
    <w:rsid w:val="00E416FC"/>
    <w:rsid w:val="00E555CD"/>
    <w:rsid w:val="00E56E9D"/>
    <w:rsid w:val="00E74F9E"/>
    <w:rsid w:val="00E75397"/>
    <w:rsid w:val="00EB401C"/>
    <w:rsid w:val="00EB6991"/>
    <w:rsid w:val="00EB74C9"/>
    <w:rsid w:val="00F00014"/>
    <w:rsid w:val="00F13963"/>
    <w:rsid w:val="00F13C00"/>
    <w:rsid w:val="00F5215A"/>
    <w:rsid w:val="00F7556F"/>
    <w:rsid w:val="00F75D47"/>
    <w:rsid w:val="00F808CB"/>
    <w:rsid w:val="00FA134C"/>
    <w:rsid w:val="00FA1EBA"/>
    <w:rsid w:val="00FA4E3F"/>
    <w:rsid w:val="00FB6D25"/>
    <w:rsid w:val="00FB7534"/>
    <w:rsid w:val="00FB7BB1"/>
    <w:rsid w:val="00FE49D6"/>
    <w:rsid w:val="00FE58CC"/>
    <w:rsid w:val="00FF3102"/>
    <w:rsid w:val="00FF6E4F"/>
    <w:rsid w:val="1FA4911C"/>
    <w:rsid w:val="1FF48BAC"/>
    <w:rsid w:val="46352662"/>
    <w:rsid w:val="4CEE18CA"/>
    <w:rsid w:val="6485F8F0"/>
    <w:rsid w:val="6667EF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CE21D6"/>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549A4-5C00-4408-8ACD-5A75E39CA70D}">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968</Words>
  <Characters>5523</Characters>
  <Application>Microsoft Office Word</Application>
  <DocSecurity>0</DocSecurity>
  <Lines>46</Lines>
  <Paragraphs>12</Paragraphs>
  <ScaleCrop>false</ScaleCrop>
  <Company>Lancashire County Council</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Pickup, Rachael</cp:lastModifiedBy>
  <cp:revision>2</cp:revision>
  <cp:lastPrinted>2017-11-07T10:18:00Z</cp:lastPrinted>
  <dcterms:created xsi:type="dcterms:W3CDTF">2026-05-20T13:53:00Z</dcterms:created>
  <dcterms:modified xsi:type="dcterms:W3CDTF">2026-05-20T13:53:00Z</dcterms:modified>
</cp:coreProperties>
</file>