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4F400" w14:textId="77777777" w:rsidR="00946AFC" w:rsidRDefault="00946AFC" w:rsidP="00081256">
      <w:pPr>
        <w:spacing w:after="0"/>
        <w:jc w:val="center"/>
        <w:rPr>
          <w:rFonts w:ascii="Arial" w:hAnsi="Arial" w:cs="Arial"/>
          <w:b/>
          <w:sz w:val="28"/>
          <w:szCs w:val="28"/>
        </w:rPr>
      </w:pPr>
      <w:r>
        <w:rPr>
          <w:rFonts w:ascii="Arial" w:hAnsi="Arial" w:cs="Arial"/>
          <w:b/>
          <w:sz w:val="28"/>
          <w:szCs w:val="28"/>
        </w:rPr>
        <w:t>Job Description</w:t>
      </w:r>
    </w:p>
    <w:p w14:paraId="63C15D05" w14:textId="77777777" w:rsidR="00BE7A35" w:rsidRDefault="00BE7A35" w:rsidP="00BE7A35">
      <w:pPr>
        <w:spacing w:after="0"/>
        <w:rPr>
          <w:rFonts w:ascii="Arial" w:hAnsi="Arial" w:cs="Arial"/>
          <w:b/>
          <w:sz w:val="28"/>
          <w:szCs w:val="28"/>
        </w:rPr>
      </w:pPr>
    </w:p>
    <w:tbl>
      <w:tblPr>
        <w:tblStyle w:val="TableGrid"/>
        <w:tblW w:w="0" w:type="auto"/>
        <w:tblLayout w:type="fixed"/>
        <w:tblLook w:val="04A0" w:firstRow="1" w:lastRow="0" w:firstColumn="1" w:lastColumn="0" w:noHBand="0" w:noVBand="1"/>
      </w:tblPr>
      <w:tblGrid>
        <w:gridCol w:w="1838"/>
        <w:gridCol w:w="3402"/>
        <w:gridCol w:w="2835"/>
        <w:gridCol w:w="2687"/>
      </w:tblGrid>
      <w:tr w:rsidR="00883689" w:rsidRPr="00BE7A35" w14:paraId="1AE86FFE" w14:textId="77777777" w:rsidTr="00103393">
        <w:tc>
          <w:tcPr>
            <w:tcW w:w="1838" w:type="dxa"/>
            <w:shd w:val="clear" w:color="auto" w:fill="A50021"/>
          </w:tcPr>
          <w:p w14:paraId="0C1A6B6D" w14:textId="77777777" w:rsidR="00883689" w:rsidRPr="00BE7A35" w:rsidRDefault="00883689" w:rsidP="00BE7A35">
            <w:pPr>
              <w:spacing w:after="0"/>
              <w:rPr>
                <w:rFonts w:ascii="Arial" w:hAnsi="Arial" w:cs="Arial"/>
                <w:b/>
                <w:sz w:val="24"/>
                <w:szCs w:val="24"/>
              </w:rPr>
            </w:pPr>
            <w:r>
              <w:rPr>
                <w:rFonts w:ascii="Arial" w:hAnsi="Arial" w:cs="Arial"/>
                <w:b/>
                <w:sz w:val="24"/>
                <w:szCs w:val="24"/>
              </w:rPr>
              <w:t>Directorate:</w:t>
            </w:r>
          </w:p>
        </w:tc>
        <w:tc>
          <w:tcPr>
            <w:tcW w:w="8924" w:type="dxa"/>
            <w:gridSpan w:val="3"/>
          </w:tcPr>
          <w:p w14:paraId="6C97E992" w14:textId="370E2A26" w:rsidR="00883689" w:rsidRPr="003E0AC5" w:rsidRDefault="0063441E" w:rsidP="009A4FE8">
            <w:pPr>
              <w:spacing w:after="0"/>
              <w:rPr>
                <w:rFonts w:ascii="Arial" w:hAnsi="Arial" w:cs="Arial"/>
                <w:sz w:val="24"/>
                <w:szCs w:val="24"/>
              </w:rPr>
            </w:pPr>
            <w:r>
              <w:rPr>
                <w:rFonts w:ascii="Arial" w:hAnsi="Arial" w:cs="Arial"/>
                <w:sz w:val="24"/>
                <w:szCs w:val="24"/>
              </w:rPr>
              <w:t>Resources</w:t>
            </w:r>
          </w:p>
        </w:tc>
      </w:tr>
      <w:tr w:rsidR="003E6252" w:rsidRPr="00BE7A35" w14:paraId="1BB61260" w14:textId="77777777" w:rsidTr="00103393">
        <w:tc>
          <w:tcPr>
            <w:tcW w:w="1838" w:type="dxa"/>
            <w:shd w:val="clear" w:color="auto" w:fill="A50021"/>
          </w:tcPr>
          <w:p w14:paraId="621D10C1" w14:textId="77777777" w:rsidR="003E6252" w:rsidRPr="00BE7A35" w:rsidRDefault="003E6252" w:rsidP="00BE7A35">
            <w:pPr>
              <w:spacing w:after="0"/>
              <w:rPr>
                <w:rFonts w:ascii="Arial" w:hAnsi="Arial" w:cs="Arial"/>
                <w:b/>
                <w:sz w:val="24"/>
                <w:szCs w:val="24"/>
              </w:rPr>
            </w:pPr>
            <w:r w:rsidRPr="00BE7A35">
              <w:rPr>
                <w:rFonts w:ascii="Arial" w:hAnsi="Arial" w:cs="Arial"/>
                <w:b/>
                <w:sz w:val="24"/>
                <w:szCs w:val="24"/>
              </w:rPr>
              <w:t>Service:</w:t>
            </w:r>
          </w:p>
        </w:tc>
        <w:tc>
          <w:tcPr>
            <w:tcW w:w="8924" w:type="dxa"/>
            <w:gridSpan w:val="3"/>
          </w:tcPr>
          <w:p w14:paraId="10189FC5" w14:textId="3734DB30" w:rsidR="003E6252" w:rsidRPr="003E0AC5" w:rsidRDefault="00DC261E" w:rsidP="009A4FE8">
            <w:pPr>
              <w:spacing w:after="0"/>
              <w:rPr>
                <w:rFonts w:ascii="Arial" w:hAnsi="Arial" w:cs="Arial"/>
                <w:sz w:val="24"/>
                <w:szCs w:val="24"/>
              </w:rPr>
            </w:pPr>
            <w:r>
              <w:rPr>
                <w:rFonts w:ascii="Arial" w:hAnsi="Arial" w:cs="Arial"/>
                <w:sz w:val="24"/>
                <w:szCs w:val="24"/>
              </w:rPr>
              <w:t xml:space="preserve">Data and Analytics </w:t>
            </w:r>
          </w:p>
        </w:tc>
      </w:tr>
      <w:tr w:rsidR="00CC31A1" w:rsidRPr="00BE7A35" w14:paraId="258A1C3E" w14:textId="77777777" w:rsidTr="00103393">
        <w:tc>
          <w:tcPr>
            <w:tcW w:w="1838" w:type="dxa"/>
            <w:shd w:val="clear" w:color="auto" w:fill="A50021"/>
          </w:tcPr>
          <w:p w14:paraId="32EB9D21" w14:textId="77777777" w:rsidR="00CC31A1" w:rsidRPr="00BE7A35" w:rsidRDefault="00CC31A1" w:rsidP="005E7B78">
            <w:pPr>
              <w:spacing w:after="0"/>
              <w:rPr>
                <w:rFonts w:ascii="Arial" w:hAnsi="Arial" w:cs="Arial"/>
                <w:b/>
                <w:sz w:val="24"/>
                <w:szCs w:val="24"/>
              </w:rPr>
            </w:pPr>
            <w:r>
              <w:rPr>
                <w:rFonts w:ascii="Arial" w:hAnsi="Arial" w:cs="Arial"/>
                <w:b/>
                <w:sz w:val="24"/>
                <w:szCs w:val="24"/>
              </w:rPr>
              <w:t>Location</w:t>
            </w:r>
            <w:r w:rsidRPr="00BE7A35">
              <w:rPr>
                <w:rFonts w:ascii="Arial" w:hAnsi="Arial" w:cs="Arial"/>
                <w:b/>
                <w:sz w:val="24"/>
                <w:szCs w:val="24"/>
              </w:rPr>
              <w:t>:</w:t>
            </w:r>
          </w:p>
        </w:tc>
        <w:tc>
          <w:tcPr>
            <w:tcW w:w="8924" w:type="dxa"/>
            <w:gridSpan w:val="3"/>
          </w:tcPr>
          <w:p w14:paraId="13F7D3EE" w14:textId="584F0EFB" w:rsidR="00CC31A1" w:rsidRPr="00A447BE" w:rsidRDefault="00C87F57" w:rsidP="005E7B78">
            <w:pPr>
              <w:spacing w:after="0"/>
              <w:rPr>
                <w:rFonts w:ascii="Arial" w:hAnsi="Arial" w:cs="Arial"/>
                <w:sz w:val="24"/>
                <w:szCs w:val="24"/>
              </w:rPr>
            </w:pPr>
            <w:r>
              <w:rPr>
                <w:rFonts w:ascii="Arial" w:hAnsi="Arial" w:cs="Arial"/>
                <w:sz w:val="24"/>
                <w:szCs w:val="24"/>
              </w:rPr>
              <w:t>County Hall, Preston</w:t>
            </w:r>
          </w:p>
        </w:tc>
      </w:tr>
      <w:tr w:rsidR="003C57AB" w:rsidRPr="00BE7A35" w14:paraId="391E0F19" w14:textId="77777777" w:rsidTr="00103393">
        <w:tc>
          <w:tcPr>
            <w:tcW w:w="1838" w:type="dxa"/>
            <w:shd w:val="clear" w:color="auto" w:fill="A50021"/>
          </w:tcPr>
          <w:p w14:paraId="3E6A34A4" w14:textId="77777777" w:rsidR="003C57AB" w:rsidRPr="00BE7A35" w:rsidRDefault="003C57AB" w:rsidP="003C57AB">
            <w:pPr>
              <w:spacing w:after="0"/>
              <w:rPr>
                <w:rFonts w:ascii="Arial" w:hAnsi="Arial" w:cs="Arial"/>
                <w:b/>
                <w:sz w:val="24"/>
                <w:szCs w:val="24"/>
              </w:rPr>
            </w:pPr>
            <w:r>
              <w:rPr>
                <w:rFonts w:ascii="Arial" w:hAnsi="Arial" w:cs="Arial"/>
                <w:b/>
                <w:sz w:val="24"/>
                <w:szCs w:val="24"/>
              </w:rPr>
              <w:t>Salary</w:t>
            </w:r>
            <w:r w:rsidR="00964A52">
              <w:rPr>
                <w:rFonts w:ascii="Arial" w:hAnsi="Arial" w:cs="Arial"/>
                <w:b/>
                <w:sz w:val="24"/>
                <w:szCs w:val="24"/>
              </w:rPr>
              <w:t xml:space="preserve"> r</w:t>
            </w:r>
            <w:r w:rsidR="005F0153">
              <w:rPr>
                <w:rFonts w:ascii="Arial" w:hAnsi="Arial" w:cs="Arial"/>
                <w:b/>
                <w:sz w:val="24"/>
                <w:szCs w:val="24"/>
              </w:rPr>
              <w:t>ange:</w:t>
            </w:r>
          </w:p>
        </w:tc>
        <w:tc>
          <w:tcPr>
            <w:tcW w:w="3402" w:type="dxa"/>
          </w:tcPr>
          <w:p w14:paraId="0B724150" w14:textId="77777777" w:rsidR="003C57AB" w:rsidRPr="00A447BE" w:rsidRDefault="003C57AB" w:rsidP="002D61C2">
            <w:pPr>
              <w:spacing w:after="0"/>
              <w:rPr>
                <w:rFonts w:ascii="Arial" w:hAnsi="Arial" w:cs="Arial"/>
                <w:sz w:val="24"/>
                <w:szCs w:val="24"/>
              </w:rPr>
            </w:pPr>
          </w:p>
        </w:tc>
        <w:tc>
          <w:tcPr>
            <w:tcW w:w="2835" w:type="dxa"/>
            <w:shd w:val="clear" w:color="auto" w:fill="A50021"/>
          </w:tcPr>
          <w:p w14:paraId="39404359" w14:textId="77777777" w:rsidR="003C57AB" w:rsidRPr="00BE7A35" w:rsidRDefault="003C57AB" w:rsidP="005F4737">
            <w:pPr>
              <w:spacing w:after="0"/>
              <w:rPr>
                <w:rFonts w:ascii="Arial" w:hAnsi="Arial" w:cs="Arial"/>
                <w:b/>
                <w:sz w:val="24"/>
                <w:szCs w:val="24"/>
              </w:rPr>
            </w:pPr>
            <w:r>
              <w:rPr>
                <w:rFonts w:ascii="Arial" w:hAnsi="Arial" w:cs="Arial"/>
                <w:b/>
                <w:sz w:val="24"/>
                <w:szCs w:val="24"/>
              </w:rPr>
              <w:t>Grade</w:t>
            </w:r>
            <w:r w:rsidRPr="00BE7A35">
              <w:rPr>
                <w:rFonts w:ascii="Arial" w:hAnsi="Arial" w:cs="Arial"/>
                <w:b/>
                <w:sz w:val="24"/>
                <w:szCs w:val="24"/>
              </w:rPr>
              <w:t>:</w:t>
            </w:r>
            <w:r w:rsidR="009A4FE8">
              <w:rPr>
                <w:rFonts w:ascii="Arial" w:hAnsi="Arial" w:cs="Arial"/>
                <w:b/>
                <w:sz w:val="24"/>
                <w:szCs w:val="24"/>
              </w:rPr>
              <w:t xml:space="preserve"> </w:t>
            </w:r>
          </w:p>
        </w:tc>
        <w:tc>
          <w:tcPr>
            <w:tcW w:w="2687" w:type="dxa"/>
          </w:tcPr>
          <w:p w14:paraId="71648A64" w14:textId="6BF833BE" w:rsidR="003C57AB" w:rsidRPr="00BE7A35" w:rsidRDefault="00DC261E" w:rsidP="003E0AC5">
            <w:pPr>
              <w:spacing w:after="0"/>
              <w:rPr>
                <w:rFonts w:ascii="Arial" w:hAnsi="Arial" w:cs="Arial"/>
                <w:sz w:val="24"/>
                <w:szCs w:val="24"/>
              </w:rPr>
            </w:pPr>
            <w:r>
              <w:rPr>
                <w:rFonts w:ascii="Arial" w:hAnsi="Arial" w:cs="Arial"/>
                <w:sz w:val="24"/>
                <w:szCs w:val="24"/>
              </w:rPr>
              <w:t>12</w:t>
            </w:r>
          </w:p>
        </w:tc>
      </w:tr>
      <w:tr w:rsidR="003C57AB" w:rsidRPr="00BE7A35" w14:paraId="6971198D" w14:textId="77777777" w:rsidTr="00103393">
        <w:tc>
          <w:tcPr>
            <w:tcW w:w="1838" w:type="dxa"/>
            <w:shd w:val="clear" w:color="auto" w:fill="A50021"/>
          </w:tcPr>
          <w:p w14:paraId="5135F3CB" w14:textId="77777777" w:rsidR="003C57AB" w:rsidRPr="00BE7A35" w:rsidRDefault="003C57AB" w:rsidP="003C57AB">
            <w:pPr>
              <w:spacing w:after="0"/>
              <w:rPr>
                <w:rFonts w:ascii="Arial" w:hAnsi="Arial" w:cs="Arial"/>
                <w:b/>
                <w:sz w:val="24"/>
                <w:szCs w:val="24"/>
              </w:rPr>
            </w:pPr>
            <w:r>
              <w:rPr>
                <w:rFonts w:ascii="Arial" w:hAnsi="Arial" w:cs="Arial"/>
                <w:b/>
                <w:sz w:val="24"/>
                <w:szCs w:val="24"/>
              </w:rPr>
              <w:t>Reports to</w:t>
            </w:r>
            <w:r w:rsidRPr="00BE7A35">
              <w:rPr>
                <w:rFonts w:ascii="Arial" w:hAnsi="Arial" w:cs="Arial"/>
                <w:b/>
                <w:sz w:val="24"/>
                <w:szCs w:val="24"/>
              </w:rPr>
              <w:t>:</w:t>
            </w:r>
          </w:p>
        </w:tc>
        <w:tc>
          <w:tcPr>
            <w:tcW w:w="3402" w:type="dxa"/>
          </w:tcPr>
          <w:p w14:paraId="1DD6980D" w14:textId="1AB31A3D" w:rsidR="003C57AB" w:rsidRPr="00A447BE" w:rsidRDefault="00DC261E" w:rsidP="003C57AB">
            <w:pPr>
              <w:spacing w:after="0"/>
              <w:rPr>
                <w:rFonts w:ascii="Arial" w:hAnsi="Arial" w:cs="Arial"/>
                <w:sz w:val="24"/>
                <w:szCs w:val="24"/>
              </w:rPr>
            </w:pPr>
            <w:r>
              <w:rPr>
                <w:rFonts w:ascii="Arial" w:hAnsi="Arial" w:cs="Arial"/>
                <w:sz w:val="24"/>
                <w:szCs w:val="24"/>
              </w:rPr>
              <w:t>Head of Data and Analytics</w:t>
            </w:r>
          </w:p>
        </w:tc>
        <w:tc>
          <w:tcPr>
            <w:tcW w:w="2835" w:type="dxa"/>
            <w:shd w:val="clear" w:color="auto" w:fill="A50021"/>
          </w:tcPr>
          <w:p w14:paraId="4C93F460" w14:textId="77777777" w:rsidR="003C57AB" w:rsidRPr="00BE7A35" w:rsidRDefault="003C57AB" w:rsidP="003C57AB">
            <w:pPr>
              <w:spacing w:after="0"/>
              <w:rPr>
                <w:rFonts w:ascii="Arial" w:hAnsi="Arial" w:cs="Arial"/>
                <w:b/>
                <w:sz w:val="24"/>
                <w:szCs w:val="24"/>
              </w:rPr>
            </w:pPr>
            <w:r>
              <w:rPr>
                <w:rFonts w:ascii="Arial" w:hAnsi="Arial" w:cs="Arial"/>
                <w:b/>
                <w:sz w:val="24"/>
                <w:szCs w:val="24"/>
              </w:rPr>
              <w:t>Staff responsible for</w:t>
            </w:r>
            <w:r w:rsidRPr="00BE7A35">
              <w:rPr>
                <w:rFonts w:ascii="Arial" w:hAnsi="Arial" w:cs="Arial"/>
                <w:b/>
                <w:sz w:val="24"/>
                <w:szCs w:val="24"/>
              </w:rPr>
              <w:t>:</w:t>
            </w:r>
          </w:p>
        </w:tc>
        <w:tc>
          <w:tcPr>
            <w:tcW w:w="2687" w:type="dxa"/>
          </w:tcPr>
          <w:p w14:paraId="6312F5EB" w14:textId="5B8E2FD6" w:rsidR="003C57AB" w:rsidRPr="00BE7A35" w:rsidRDefault="00DC261E" w:rsidP="003C57AB">
            <w:pPr>
              <w:spacing w:after="0"/>
              <w:rPr>
                <w:rFonts w:ascii="Arial" w:hAnsi="Arial" w:cs="Arial"/>
                <w:sz w:val="24"/>
                <w:szCs w:val="24"/>
              </w:rPr>
            </w:pPr>
            <w:r>
              <w:rPr>
                <w:rFonts w:ascii="Arial" w:hAnsi="Arial" w:cs="Arial"/>
                <w:sz w:val="24"/>
                <w:szCs w:val="24"/>
              </w:rPr>
              <w:t>TBC</w:t>
            </w:r>
          </w:p>
        </w:tc>
      </w:tr>
    </w:tbl>
    <w:p w14:paraId="32EE269E" w14:textId="77777777" w:rsidR="002D03B5" w:rsidRPr="00BE7A35"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784003" w14:paraId="09557A88" w14:textId="77777777" w:rsidTr="00103393">
        <w:tc>
          <w:tcPr>
            <w:tcW w:w="10773" w:type="dxa"/>
            <w:shd w:val="clear" w:color="auto" w:fill="A50021"/>
          </w:tcPr>
          <w:p w14:paraId="754C408E" w14:textId="77777777" w:rsidR="006F10A8" w:rsidRDefault="006F10A8" w:rsidP="00855E4C">
            <w:pPr>
              <w:spacing w:before="120" w:after="120" w:line="240" w:lineRule="auto"/>
              <w:rPr>
                <w:rFonts w:ascii="Arial" w:hAnsi="Arial" w:cs="Arial"/>
                <w:b/>
                <w:sz w:val="24"/>
                <w:szCs w:val="24"/>
              </w:rPr>
            </w:pPr>
            <w:r>
              <w:rPr>
                <w:rFonts w:ascii="Arial" w:hAnsi="Arial" w:cs="Arial"/>
                <w:b/>
                <w:sz w:val="24"/>
                <w:szCs w:val="24"/>
              </w:rPr>
              <w:t xml:space="preserve">Job </w:t>
            </w:r>
            <w:r w:rsidR="00103393">
              <w:rPr>
                <w:rFonts w:ascii="Arial" w:hAnsi="Arial" w:cs="Arial"/>
                <w:b/>
                <w:sz w:val="24"/>
                <w:szCs w:val="24"/>
              </w:rPr>
              <w:t>p</w:t>
            </w:r>
            <w:r>
              <w:rPr>
                <w:rFonts w:ascii="Arial" w:hAnsi="Arial" w:cs="Arial"/>
                <w:b/>
                <w:sz w:val="24"/>
                <w:szCs w:val="24"/>
              </w:rPr>
              <w:t>urpose</w:t>
            </w:r>
            <w:r w:rsidR="00103393">
              <w:rPr>
                <w:rFonts w:ascii="Arial" w:hAnsi="Arial" w:cs="Arial"/>
                <w:b/>
                <w:sz w:val="24"/>
                <w:szCs w:val="24"/>
              </w:rPr>
              <w:t xml:space="preserve"> and scope</w:t>
            </w:r>
          </w:p>
        </w:tc>
      </w:tr>
      <w:tr w:rsidR="002D03B5" w:rsidRPr="00784003" w14:paraId="651C6F4F" w14:textId="77777777" w:rsidTr="00BE7A35">
        <w:tc>
          <w:tcPr>
            <w:tcW w:w="10773" w:type="dxa"/>
          </w:tcPr>
          <w:p w14:paraId="2F4A5919" w14:textId="77777777" w:rsidR="009A4FE8" w:rsidRPr="00C466DF" w:rsidRDefault="009A4FE8" w:rsidP="009A4FE8">
            <w:pPr>
              <w:spacing w:after="0" w:line="240" w:lineRule="auto"/>
              <w:rPr>
                <w:rFonts w:ascii="Arial" w:hAnsi="Arial" w:cs="Arial"/>
                <w:sz w:val="24"/>
                <w:szCs w:val="24"/>
              </w:rPr>
            </w:pPr>
          </w:p>
          <w:p w14:paraId="5D756C61" w14:textId="77777777" w:rsidR="00953155" w:rsidRDefault="00953155" w:rsidP="00953155">
            <w:pPr>
              <w:spacing w:after="0" w:line="240" w:lineRule="auto"/>
              <w:rPr>
                <w:rFonts w:ascii="Arial" w:hAnsi="Arial"/>
                <w:sz w:val="24"/>
                <w:szCs w:val="24"/>
              </w:rPr>
            </w:pPr>
            <w:r w:rsidRPr="00953155">
              <w:rPr>
                <w:rFonts w:ascii="Arial" w:hAnsi="Arial"/>
                <w:sz w:val="24"/>
                <w:szCs w:val="24"/>
              </w:rPr>
              <w:t>Lancashire County Council is shaping a transformational approach to data and intelligence to ensure organisational decision</w:t>
            </w:r>
            <w:r w:rsidRPr="00953155">
              <w:rPr>
                <w:rFonts w:ascii="Arial" w:hAnsi="Arial"/>
                <w:sz w:val="24"/>
                <w:szCs w:val="24"/>
              </w:rPr>
              <w:noBreakHyphen/>
              <w:t>making is informed by strategic insight that drives better outcomes for residents.</w:t>
            </w:r>
          </w:p>
          <w:p w14:paraId="7C17CCDA" w14:textId="77777777" w:rsidR="00953155" w:rsidRPr="00953155" w:rsidRDefault="00953155" w:rsidP="00953155">
            <w:pPr>
              <w:spacing w:after="0" w:line="240" w:lineRule="auto"/>
              <w:rPr>
                <w:rFonts w:ascii="Arial" w:hAnsi="Arial"/>
                <w:sz w:val="24"/>
                <w:szCs w:val="24"/>
              </w:rPr>
            </w:pPr>
          </w:p>
          <w:p w14:paraId="7CCB9A6E" w14:textId="77777777" w:rsidR="00953155" w:rsidRPr="00953155" w:rsidRDefault="00953155" w:rsidP="00953155">
            <w:pPr>
              <w:spacing w:after="0" w:line="240" w:lineRule="auto"/>
              <w:rPr>
                <w:rFonts w:ascii="Arial" w:hAnsi="Arial"/>
                <w:sz w:val="24"/>
                <w:szCs w:val="24"/>
              </w:rPr>
            </w:pPr>
            <w:r w:rsidRPr="00953155">
              <w:rPr>
                <w:rFonts w:ascii="Arial" w:hAnsi="Arial"/>
                <w:sz w:val="24"/>
                <w:szCs w:val="24"/>
              </w:rPr>
              <w:t>The postholder will operate as a Strategic Data Partner, acting as the primary conduit between senior service leaders and the central Data &amp; Analytics function. The role exists to provide high</w:t>
            </w:r>
            <w:r w:rsidRPr="00953155">
              <w:rPr>
                <w:rFonts w:ascii="Arial" w:hAnsi="Arial"/>
                <w:sz w:val="24"/>
                <w:szCs w:val="24"/>
              </w:rPr>
              <w:noBreakHyphen/>
              <w:t>quality insight, analysis and intelligence that supports strategic decision</w:t>
            </w:r>
            <w:r w:rsidRPr="00953155">
              <w:rPr>
                <w:rFonts w:ascii="Arial" w:hAnsi="Arial"/>
                <w:sz w:val="24"/>
                <w:szCs w:val="24"/>
              </w:rPr>
              <w:noBreakHyphen/>
              <w:t>making, service transformation and performance improvement.</w:t>
            </w:r>
          </w:p>
          <w:p w14:paraId="77A8170E" w14:textId="77777777" w:rsidR="00953155" w:rsidRPr="00953155" w:rsidRDefault="00953155" w:rsidP="00953155">
            <w:pPr>
              <w:spacing w:after="0" w:line="240" w:lineRule="auto"/>
              <w:rPr>
                <w:rFonts w:ascii="Arial" w:hAnsi="Arial"/>
                <w:sz w:val="24"/>
                <w:szCs w:val="24"/>
              </w:rPr>
            </w:pPr>
          </w:p>
          <w:p w14:paraId="29F05BF5" w14:textId="77777777" w:rsidR="00953155" w:rsidRPr="00953155" w:rsidRDefault="00953155" w:rsidP="00953155">
            <w:pPr>
              <w:spacing w:after="0" w:line="240" w:lineRule="auto"/>
              <w:rPr>
                <w:rFonts w:ascii="Arial" w:hAnsi="Arial"/>
                <w:sz w:val="24"/>
                <w:szCs w:val="24"/>
              </w:rPr>
            </w:pPr>
            <w:r w:rsidRPr="00953155">
              <w:rPr>
                <w:rFonts w:ascii="Arial" w:hAnsi="Arial"/>
                <w:sz w:val="24"/>
                <w:szCs w:val="24"/>
              </w:rPr>
              <w:t>The postholder will shape intelligence requirements, translate organisational and service priorities into actionable analytical work, present insights to senior leaders, and act as a trusted advisor on data, performance and evidence</w:t>
            </w:r>
            <w:r w:rsidRPr="00953155">
              <w:rPr>
                <w:rFonts w:ascii="Arial" w:hAnsi="Arial"/>
                <w:sz w:val="24"/>
                <w:szCs w:val="24"/>
              </w:rPr>
              <w:noBreakHyphen/>
              <w:t>based decision</w:t>
            </w:r>
            <w:r w:rsidRPr="00953155">
              <w:rPr>
                <w:rFonts w:ascii="Arial" w:hAnsi="Arial"/>
                <w:sz w:val="24"/>
                <w:szCs w:val="24"/>
              </w:rPr>
              <w:noBreakHyphen/>
              <w:t>making.</w:t>
            </w:r>
          </w:p>
          <w:p w14:paraId="4F361270" w14:textId="77777777" w:rsidR="009A4FE8" w:rsidRPr="009A4FE8" w:rsidRDefault="009A4FE8" w:rsidP="005F4737">
            <w:pPr>
              <w:spacing w:after="0" w:line="240" w:lineRule="auto"/>
              <w:rPr>
                <w:rFonts w:ascii="Arial" w:hAnsi="Arial"/>
                <w:sz w:val="24"/>
                <w:szCs w:val="24"/>
              </w:rPr>
            </w:pPr>
          </w:p>
          <w:p w14:paraId="686E28B4" w14:textId="77777777" w:rsidR="007A1CCA" w:rsidRPr="00784003" w:rsidRDefault="007A1CCA" w:rsidP="009A4FE8">
            <w:pPr>
              <w:spacing w:after="0" w:line="240" w:lineRule="auto"/>
              <w:rPr>
                <w:rFonts w:ascii="Arial" w:hAnsi="Arial"/>
              </w:rPr>
            </w:pPr>
          </w:p>
        </w:tc>
      </w:tr>
    </w:tbl>
    <w:p w14:paraId="0EE71573" w14:textId="77777777" w:rsidR="00103393" w:rsidRDefault="00103393"/>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E31CC" w:rsidRPr="006E31CC" w14:paraId="60861218" w14:textId="77777777" w:rsidTr="006E31CC">
        <w:tc>
          <w:tcPr>
            <w:tcW w:w="10773" w:type="dxa"/>
            <w:tcBorders>
              <w:top w:val="single" w:sz="4" w:space="0" w:color="auto"/>
              <w:left w:val="single" w:sz="4" w:space="0" w:color="auto"/>
              <w:bottom w:val="single" w:sz="4" w:space="0" w:color="auto"/>
              <w:right w:val="single" w:sz="4" w:space="0" w:color="auto"/>
            </w:tcBorders>
            <w:shd w:val="clear" w:color="auto" w:fill="A50021"/>
          </w:tcPr>
          <w:p w14:paraId="522E97E5" w14:textId="77777777" w:rsidR="006E31CC" w:rsidRPr="006E31CC" w:rsidRDefault="006E31CC" w:rsidP="00EA7005">
            <w:pPr>
              <w:spacing w:before="120" w:after="120" w:line="240" w:lineRule="auto"/>
              <w:rPr>
                <w:rFonts w:ascii="Arial" w:hAnsi="Arial" w:cs="Arial"/>
                <w:b/>
                <w:sz w:val="24"/>
                <w:szCs w:val="24"/>
              </w:rPr>
            </w:pPr>
            <w:r w:rsidRPr="006E31CC">
              <w:rPr>
                <w:rFonts w:ascii="Arial" w:hAnsi="Arial" w:cs="Arial"/>
                <w:b/>
                <w:sz w:val="24"/>
                <w:szCs w:val="24"/>
              </w:rPr>
              <w:t>Performance Indicators</w:t>
            </w:r>
          </w:p>
        </w:tc>
      </w:tr>
      <w:tr w:rsidR="006E31CC" w:rsidRPr="00784003" w14:paraId="1F60561C" w14:textId="77777777" w:rsidTr="006E31CC">
        <w:tc>
          <w:tcPr>
            <w:tcW w:w="10773" w:type="dxa"/>
            <w:tcBorders>
              <w:top w:val="single" w:sz="4" w:space="0" w:color="auto"/>
              <w:left w:val="single" w:sz="4" w:space="0" w:color="auto"/>
              <w:bottom w:val="single" w:sz="4" w:space="0" w:color="auto"/>
              <w:right w:val="single" w:sz="4" w:space="0" w:color="auto"/>
            </w:tcBorders>
          </w:tcPr>
          <w:p w14:paraId="1270FDC2" w14:textId="77777777" w:rsidR="006E31CC" w:rsidRPr="006E31CC" w:rsidRDefault="006E31CC" w:rsidP="006E31CC">
            <w:pPr>
              <w:pStyle w:val="HayGroup11"/>
              <w:ind w:left="360"/>
              <w:rPr>
                <w:rFonts w:ascii="Arial" w:hAnsi="Arial" w:cs="Arial"/>
                <w:b/>
                <w:sz w:val="24"/>
                <w:lang w:val="en-GB"/>
              </w:rPr>
            </w:pPr>
          </w:p>
          <w:p w14:paraId="13C3C98E" w14:textId="77777777" w:rsidR="006E31CC" w:rsidRPr="006E31CC" w:rsidRDefault="006E31CC" w:rsidP="006E31CC">
            <w:pPr>
              <w:pStyle w:val="HayGroup11"/>
              <w:numPr>
                <w:ilvl w:val="0"/>
                <w:numId w:val="33"/>
              </w:numPr>
              <w:rPr>
                <w:rFonts w:ascii="Arial" w:hAnsi="Arial" w:cs="Arial"/>
                <w:sz w:val="24"/>
                <w:lang w:val="en-GB"/>
              </w:rPr>
            </w:pPr>
            <w:r w:rsidRPr="006E31CC">
              <w:rPr>
                <w:rFonts w:ascii="Arial" w:hAnsi="Arial" w:cs="Arial"/>
                <w:sz w:val="24"/>
              </w:rPr>
              <w:t>Quality of advice/service against legal, safety and best practice standards</w:t>
            </w:r>
          </w:p>
          <w:p w14:paraId="59180A67" w14:textId="77777777" w:rsidR="006E31CC" w:rsidRPr="006E31CC" w:rsidRDefault="006E31CC" w:rsidP="006E31CC">
            <w:pPr>
              <w:pStyle w:val="HayGroup11"/>
              <w:numPr>
                <w:ilvl w:val="0"/>
                <w:numId w:val="33"/>
              </w:numPr>
              <w:rPr>
                <w:rFonts w:ascii="Arial" w:hAnsi="Arial" w:cs="Arial"/>
                <w:sz w:val="24"/>
                <w:lang w:val="en-GB"/>
              </w:rPr>
            </w:pPr>
            <w:r w:rsidRPr="006E31CC">
              <w:rPr>
                <w:rFonts w:ascii="Arial" w:hAnsi="Arial" w:cs="Arial"/>
                <w:sz w:val="24"/>
              </w:rPr>
              <w:t xml:space="preserve">Achievement of relevant service targets </w:t>
            </w:r>
          </w:p>
          <w:p w14:paraId="0A53E5A4" w14:textId="77777777" w:rsidR="006E31CC" w:rsidRPr="006E31CC" w:rsidRDefault="006E31CC" w:rsidP="006E31CC">
            <w:pPr>
              <w:pStyle w:val="HayGroup11"/>
              <w:numPr>
                <w:ilvl w:val="0"/>
                <w:numId w:val="33"/>
              </w:numPr>
              <w:rPr>
                <w:rFonts w:ascii="Arial" w:hAnsi="Arial" w:cs="Arial"/>
                <w:sz w:val="24"/>
                <w:lang w:val="en-GB"/>
              </w:rPr>
            </w:pPr>
            <w:r w:rsidRPr="006E31CC">
              <w:rPr>
                <w:rFonts w:ascii="Arial" w:hAnsi="Arial" w:cs="Arial"/>
                <w:sz w:val="24"/>
              </w:rPr>
              <w:t xml:space="preserve">Adherence to internal/external quality standards if applicable </w:t>
            </w:r>
          </w:p>
          <w:p w14:paraId="4F9D7E59" w14:textId="77777777" w:rsidR="006E31CC" w:rsidRPr="006E31CC" w:rsidRDefault="006E31CC" w:rsidP="006E31CC">
            <w:pPr>
              <w:pStyle w:val="HayGroup11"/>
              <w:numPr>
                <w:ilvl w:val="0"/>
                <w:numId w:val="33"/>
              </w:numPr>
              <w:rPr>
                <w:rFonts w:ascii="Arial" w:hAnsi="Arial" w:cs="Arial"/>
                <w:sz w:val="24"/>
                <w:lang w:val="en-GB"/>
              </w:rPr>
            </w:pPr>
            <w:r w:rsidRPr="006E31CC">
              <w:rPr>
                <w:rFonts w:ascii="Arial" w:hAnsi="Arial" w:cs="Arial"/>
                <w:sz w:val="24"/>
              </w:rPr>
              <w:t xml:space="preserve">Adherence to policies and procedures </w:t>
            </w:r>
          </w:p>
          <w:p w14:paraId="6804F7E4" w14:textId="77777777" w:rsidR="006E31CC" w:rsidRPr="006E31CC" w:rsidRDefault="006E31CC" w:rsidP="006E31CC">
            <w:pPr>
              <w:pStyle w:val="HayGroup11"/>
              <w:numPr>
                <w:ilvl w:val="0"/>
                <w:numId w:val="33"/>
              </w:numPr>
              <w:rPr>
                <w:rFonts w:ascii="Arial" w:hAnsi="Arial" w:cs="Arial"/>
                <w:sz w:val="24"/>
                <w:lang w:val="en-GB"/>
              </w:rPr>
            </w:pPr>
            <w:r w:rsidRPr="006E31CC">
              <w:rPr>
                <w:rFonts w:ascii="Arial" w:hAnsi="Arial" w:cs="Arial"/>
                <w:sz w:val="24"/>
              </w:rPr>
              <w:t xml:space="preserve">Accuracy and timeliness of information recording and processing </w:t>
            </w:r>
          </w:p>
          <w:p w14:paraId="21A6E4AF" w14:textId="77777777" w:rsidR="006E31CC" w:rsidRPr="006E31CC" w:rsidRDefault="006E31CC" w:rsidP="006E31CC">
            <w:pPr>
              <w:pStyle w:val="HayGroup11"/>
              <w:numPr>
                <w:ilvl w:val="0"/>
                <w:numId w:val="33"/>
              </w:numPr>
              <w:rPr>
                <w:rFonts w:ascii="Arial" w:hAnsi="Arial" w:cs="Arial"/>
                <w:sz w:val="24"/>
                <w:lang w:val="en-GB"/>
              </w:rPr>
            </w:pPr>
            <w:r w:rsidRPr="006E31CC">
              <w:rPr>
                <w:rFonts w:ascii="Arial" w:hAnsi="Arial" w:cs="Arial"/>
                <w:sz w:val="24"/>
              </w:rPr>
              <w:t>Customer and stakeholder feedback</w:t>
            </w:r>
          </w:p>
          <w:p w14:paraId="1A9FD4E9" w14:textId="77777777" w:rsidR="006E31CC" w:rsidRPr="006E31CC" w:rsidRDefault="006E31CC" w:rsidP="006E31CC">
            <w:pPr>
              <w:pStyle w:val="HayGroup11"/>
              <w:numPr>
                <w:ilvl w:val="0"/>
                <w:numId w:val="33"/>
              </w:numPr>
              <w:rPr>
                <w:rFonts w:ascii="Arial" w:hAnsi="Arial" w:cs="Arial"/>
                <w:sz w:val="24"/>
                <w:lang w:val="en-GB"/>
              </w:rPr>
            </w:pPr>
            <w:r w:rsidRPr="006E31CC">
              <w:rPr>
                <w:rFonts w:ascii="Arial" w:hAnsi="Arial" w:cs="Arial"/>
                <w:sz w:val="24"/>
                <w:lang w:val="en-GB"/>
              </w:rPr>
              <w:t>Leading Lancashire Framework</w:t>
            </w:r>
          </w:p>
          <w:p w14:paraId="00B79F21" w14:textId="77777777" w:rsidR="006E31CC" w:rsidRPr="006E31CC" w:rsidRDefault="006E31CC" w:rsidP="006E31CC">
            <w:pPr>
              <w:pStyle w:val="HayGroup11"/>
              <w:ind w:left="357"/>
              <w:rPr>
                <w:rFonts w:ascii="Arial" w:hAnsi="Arial" w:cs="Arial"/>
                <w:b/>
                <w:sz w:val="24"/>
                <w:lang w:val="en-GB"/>
              </w:rPr>
            </w:pPr>
          </w:p>
        </w:tc>
      </w:tr>
    </w:tbl>
    <w:p w14:paraId="4DD42E96" w14:textId="77777777" w:rsidR="006E31CC" w:rsidRDefault="006E31CC"/>
    <w:p w14:paraId="600C2198" w14:textId="77777777" w:rsidR="00FD696E" w:rsidRDefault="00FD696E"/>
    <w:p w14:paraId="4C71B85B" w14:textId="77777777" w:rsidR="00FD696E" w:rsidRDefault="00FD696E"/>
    <w:p w14:paraId="41BA69BA" w14:textId="77777777" w:rsidR="00FD696E" w:rsidRDefault="00FD696E"/>
    <w:p w14:paraId="2776E947" w14:textId="77777777" w:rsidR="00FD696E" w:rsidRDefault="00FD696E"/>
    <w:p w14:paraId="17E00111" w14:textId="77777777" w:rsidR="00FD696E" w:rsidRDefault="00FD696E"/>
    <w:p w14:paraId="0795AC77" w14:textId="77777777" w:rsidR="00FD696E" w:rsidRDefault="00FD696E"/>
    <w:tbl>
      <w:tblPr>
        <w:tblW w:w="108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8"/>
      </w:tblGrid>
      <w:tr w:rsidR="00D03D79" w:rsidRPr="00784003" w14:paraId="46961DED" w14:textId="77777777" w:rsidTr="00D03D79">
        <w:tc>
          <w:tcPr>
            <w:tcW w:w="10808" w:type="dxa"/>
            <w:tcBorders>
              <w:top w:val="single" w:sz="4" w:space="0" w:color="auto"/>
              <w:left w:val="single" w:sz="4" w:space="0" w:color="auto"/>
              <w:bottom w:val="single" w:sz="4" w:space="0" w:color="auto"/>
              <w:right w:val="single" w:sz="4" w:space="0" w:color="auto"/>
            </w:tcBorders>
            <w:shd w:val="clear" w:color="auto" w:fill="A50021"/>
          </w:tcPr>
          <w:p w14:paraId="1406090E" w14:textId="77777777" w:rsidR="00D03D79" w:rsidRPr="00D03D79" w:rsidRDefault="00D03D79" w:rsidP="00EA7005">
            <w:pPr>
              <w:spacing w:before="120" w:after="120" w:line="240" w:lineRule="auto"/>
              <w:rPr>
                <w:rFonts w:ascii="Arial" w:hAnsi="Arial" w:cs="Arial"/>
                <w:b/>
                <w:sz w:val="24"/>
                <w:szCs w:val="24"/>
              </w:rPr>
            </w:pPr>
            <w:r w:rsidRPr="00D03D79">
              <w:rPr>
                <w:rFonts w:ascii="Arial" w:hAnsi="Arial" w:cs="Arial"/>
                <w:b/>
                <w:sz w:val="24"/>
                <w:szCs w:val="24"/>
              </w:rPr>
              <w:t>Lead</w:t>
            </w:r>
            <w:r>
              <w:rPr>
                <w:rFonts w:ascii="Arial" w:hAnsi="Arial" w:cs="Arial"/>
                <w:b/>
                <w:sz w:val="24"/>
                <w:szCs w:val="24"/>
              </w:rPr>
              <w:t>ing Lancashire – Our Leadership Framework</w:t>
            </w:r>
          </w:p>
        </w:tc>
      </w:tr>
      <w:tr w:rsidR="00D03D79" w:rsidRPr="00784003" w14:paraId="4EB3C4DE" w14:textId="77777777" w:rsidTr="00D03D79">
        <w:tc>
          <w:tcPr>
            <w:tcW w:w="10808" w:type="dxa"/>
            <w:tcBorders>
              <w:top w:val="single" w:sz="4" w:space="0" w:color="auto"/>
              <w:left w:val="single" w:sz="4" w:space="0" w:color="auto"/>
              <w:bottom w:val="single" w:sz="4" w:space="0" w:color="auto"/>
              <w:right w:val="single" w:sz="4" w:space="0" w:color="auto"/>
            </w:tcBorders>
          </w:tcPr>
          <w:p w14:paraId="0806DDA6" w14:textId="77777777" w:rsidR="00D03D79" w:rsidRPr="00DF3781" w:rsidRDefault="00D03D79" w:rsidP="00EA7005">
            <w:pPr>
              <w:spacing w:before="120" w:after="120" w:line="240" w:lineRule="auto"/>
              <w:rPr>
                <w:rFonts w:ascii="Arial" w:hAnsi="Arial" w:cs="Arial"/>
                <w:b/>
                <w:sz w:val="24"/>
                <w:szCs w:val="24"/>
              </w:rPr>
            </w:pPr>
            <w:r>
              <w:rPr>
                <w:noProof/>
              </w:rPr>
              <w:drawing>
                <wp:inline distT="0" distB="0" distL="0" distR="0" wp14:anchorId="0AE4997D" wp14:editId="7EE0F772">
                  <wp:extent cx="6840220" cy="4730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840220" cy="4730750"/>
                          </a:xfrm>
                          <a:prstGeom prst="rect">
                            <a:avLst/>
                          </a:prstGeom>
                        </pic:spPr>
                      </pic:pic>
                    </a:graphicData>
                  </a:graphic>
                </wp:inline>
              </w:drawing>
            </w:r>
          </w:p>
          <w:p w14:paraId="0A71E6E6" w14:textId="77777777" w:rsidR="00D03D79" w:rsidRPr="00D03D79" w:rsidRDefault="00D03D79" w:rsidP="00D03D79">
            <w:pPr>
              <w:rPr>
                <w:rFonts w:ascii="Arial" w:hAnsi="Arial" w:cs="Arial"/>
                <w:b/>
                <w:sz w:val="24"/>
                <w:szCs w:val="24"/>
              </w:rPr>
            </w:pPr>
          </w:p>
        </w:tc>
      </w:tr>
    </w:tbl>
    <w:p w14:paraId="61946525" w14:textId="77777777" w:rsidR="00D03D79" w:rsidRDefault="00D03D79"/>
    <w:tbl>
      <w:tblPr>
        <w:tblW w:w="108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8"/>
      </w:tblGrid>
      <w:tr w:rsidR="002D03B5" w:rsidRPr="00784003" w14:paraId="32EF98CB" w14:textId="77777777" w:rsidTr="00D03D79">
        <w:tc>
          <w:tcPr>
            <w:tcW w:w="10808" w:type="dxa"/>
            <w:shd w:val="clear" w:color="auto" w:fill="A50021"/>
          </w:tcPr>
          <w:p w14:paraId="14F916E2" w14:textId="77777777" w:rsidR="002D03B5" w:rsidRPr="00784003" w:rsidRDefault="002D03B5" w:rsidP="00855E4C">
            <w:pPr>
              <w:spacing w:before="120" w:after="120" w:line="240" w:lineRule="auto"/>
              <w:rPr>
                <w:rFonts w:ascii="Arial" w:hAnsi="Arial" w:cs="Arial"/>
                <w:sz w:val="24"/>
                <w:szCs w:val="24"/>
              </w:rPr>
            </w:pPr>
            <w:r w:rsidRPr="00784003">
              <w:rPr>
                <w:rFonts w:ascii="Arial" w:hAnsi="Arial" w:cs="Arial"/>
                <w:b/>
                <w:sz w:val="24"/>
                <w:szCs w:val="24"/>
              </w:rPr>
              <w:t>Accountabilities/Responsibilities</w:t>
            </w:r>
          </w:p>
        </w:tc>
      </w:tr>
      <w:tr w:rsidR="002D03B5" w:rsidRPr="00784003" w14:paraId="036DB618" w14:textId="77777777" w:rsidTr="00D03D79">
        <w:trPr>
          <w:trHeight w:val="745"/>
        </w:trPr>
        <w:tc>
          <w:tcPr>
            <w:tcW w:w="10808" w:type="dxa"/>
          </w:tcPr>
          <w:p w14:paraId="71946478" w14:textId="77777777" w:rsidR="00FB5C97" w:rsidRPr="00FB5C97" w:rsidRDefault="00FB5C97" w:rsidP="00FB5C97">
            <w:pPr>
              <w:pStyle w:val="Default"/>
              <w:rPr>
                <w:b/>
                <w:bCs/>
              </w:rPr>
            </w:pPr>
            <w:r w:rsidRPr="00FB5C97">
              <w:rPr>
                <w:b/>
                <w:bCs/>
              </w:rPr>
              <w:t>Strategic Insight &amp; Partnering</w:t>
            </w:r>
          </w:p>
          <w:p w14:paraId="64DF5257" w14:textId="77777777" w:rsidR="00FB5C97" w:rsidRPr="00FB5C97" w:rsidRDefault="00FB5C97" w:rsidP="00FB5C97">
            <w:pPr>
              <w:pStyle w:val="Default"/>
              <w:numPr>
                <w:ilvl w:val="0"/>
                <w:numId w:val="34"/>
              </w:numPr>
            </w:pPr>
            <w:r w:rsidRPr="00FB5C97">
              <w:t>Build strong, trusted relationships with senior leaders, acting as a strategic advisor on data, insight and performance.</w:t>
            </w:r>
          </w:p>
          <w:p w14:paraId="6666D275" w14:textId="77777777" w:rsidR="00FB5C97" w:rsidRPr="00FB5C97" w:rsidRDefault="00FB5C97" w:rsidP="00FB5C97">
            <w:pPr>
              <w:pStyle w:val="Default"/>
              <w:numPr>
                <w:ilvl w:val="0"/>
                <w:numId w:val="34"/>
              </w:numPr>
            </w:pPr>
            <w:r w:rsidRPr="00FB5C97">
              <w:t>Work collaboratively with services to clarify emerging or ambiguous requirements and convert them into well</w:t>
            </w:r>
            <w:r w:rsidRPr="00FB5C97">
              <w:noBreakHyphen/>
              <w:t>defined analytical questions.</w:t>
            </w:r>
          </w:p>
          <w:p w14:paraId="11A4C034" w14:textId="77777777" w:rsidR="00FB5C97" w:rsidRPr="00FB5C97" w:rsidRDefault="00FB5C97" w:rsidP="00FB5C97">
            <w:pPr>
              <w:pStyle w:val="Default"/>
              <w:numPr>
                <w:ilvl w:val="0"/>
                <w:numId w:val="34"/>
              </w:numPr>
            </w:pPr>
            <w:r w:rsidRPr="00FB5C97">
              <w:t>Identify opportunities for innovation, efficiency and improved outcomes through data</w:t>
            </w:r>
            <w:r w:rsidRPr="00FB5C97">
              <w:noBreakHyphen/>
              <w:t>led thinking.</w:t>
            </w:r>
          </w:p>
          <w:p w14:paraId="786E3B5E" w14:textId="77777777" w:rsidR="00FB5C97" w:rsidRDefault="00FB5C97" w:rsidP="00FB5C97">
            <w:pPr>
              <w:pStyle w:val="Default"/>
              <w:numPr>
                <w:ilvl w:val="0"/>
                <w:numId w:val="34"/>
              </w:numPr>
            </w:pPr>
            <w:r w:rsidRPr="00FB5C97">
              <w:t>Present complex analysis and insight to non</w:t>
            </w:r>
            <w:r w:rsidRPr="00FB5C97">
              <w:noBreakHyphen/>
              <w:t>technical audiences in a clear, accessible and actionable way.</w:t>
            </w:r>
          </w:p>
          <w:p w14:paraId="6E8BA4FB" w14:textId="77777777" w:rsidR="00FB5C97" w:rsidRPr="00FB5C97" w:rsidRDefault="00FB5C97" w:rsidP="00FB5C97">
            <w:pPr>
              <w:pStyle w:val="Default"/>
              <w:ind w:left="720"/>
            </w:pPr>
          </w:p>
          <w:p w14:paraId="37E872FF" w14:textId="77777777" w:rsidR="00FB5C97" w:rsidRPr="00FB5C97" w:rsidRDefault="00FB5C97" w:rsidP="00FB5C97">
            <w:pPr>
              <w:pStyle w:val="Default"/>
              <w:rPr>
                <w:b/>
                <w:bCs/>
              </w:rPr>
            </w:pPr>
            <w:r w:rsidRPr="00FB5C97">
              <w:rPr>
                <w:b/>
                <w:bCs/>
              </w:rPr>
              <w:t>Performance Management and Improvement</w:t>
            </w:r>
          </w:p>
          <w:p w14:paraId="6B905F33" w14:textId="77777777" w:rsidR="00FB5C97" w:rsidRPr="00FB5C97" w:rsidRDefault="00FB5C97" w:rsidP="00FB5C97">
            <w:pPr>
              <w:pStyle w:val="Default"/>
              <w:numPr>
                <w:ilvl w:val="0"/>
                <w:numId w:val="35"/>
              </w:numPr>
            </w:pPr>
            <w:r w:rsidRPr="00FB5C97">
              <w:t>Provide monitoring, analysis and insight on key performance indicators aligned to the Corporate Performance Management Framework.</w:t>
            </w:r>
          </w:p>
          <w:p w14:paraId="1CA11B12" w14:textId="77777777" w:rsidR="00FB5C97" w:rsidRPr="00FB5C97" w:rsidRDefault="00FB5C97" w:rsidP="00FB5C97">
            <w:pPr>
              <w:pStyle w:val="Default"/>
              <w:numPr>
                <w:ilvl w:val="0"/>
                <w:numId w:val="35"/>
              </w:numPr>
            </w:pPr>
            <w:r w:rsidRPr="00FB5C97">
              <w:t>Deliver benchmarking and trend analysis using national, regional and local datasets.</w:t>
            </w:r>
          </w:p>
          <w:p w14:paraId="6B98389C" w14:textId="77777777" w:rsidR="00FB5C97" w:rsidRDefault="00FB5C97" w:rsidP="00FB5C97">
            <w:pPr>
              <w:pStyle w:val="Default"/>
              <w:numPr>
                <w:ilvl w:val="0"/>
                <w:numId w:val="35"/>
              </w:numPr>
            </w:pPr>
            <w:r w:rsidRPr="00FB5C97">
              <w:lastRenderedPageBreak/>
              <w:t>Operate as a critical friend, offering constructive challenge to drive continuous improvement and better decision</w:t>
            </w:r>
            <w:r w:rsidRPr="00FB5C97">
              <w:noBreakHyphen/>
              <w:t>making.</w:t>
            </w:r>
          </w:p>
          <w:p w14:paraId="3C14DC49" w14:textId="77777777" w:rsidR="00FB5C97" w:rsidRPr="00FB5C97" w:rsidRDefault="00FB5C97" w:rsidP="00FB5C97">
            <w:pPr>
              <w:pStyle w:val="Default"/>
              <w:ind w:left="720"/>
            </w:pPr>
          </w:p>
          <w:p w14:paraId="49C0A5EB" w14:textId="77777777" w:rsidR="00FB5C97" w:rsidRPr="00FB5C97" w:rsidRDefault="00FB5C97" w:rsidP="00FB5C97">
            <w:pPr>
              <w:pStyle w:val="Default"/>
              <w:rPr>
                <w:b/>
                <w:bCs/>
              </w:rPr>
            </w:pPr>
            <w:r w:rsidRPr="00FB5C97">
              <w:rPr>
                <w:b/>
                <w:bCs/>
              </w:rPr>
              <w:t>Data Products, Reporting and Analytical Delivery</w:t>
            </w:r>
          </w:p>
          <w:p w14:paraId="7EA9FBEA" w14:textId="77777777" w:rsidR="00FB5C97" w:rsidRPr="00FB5C97" w:rsidRDefault="00FB5C97" w:rsidP="00FB5C97">
            <w:pPr>
              <w:pStyle w:val="Default"/>
              <w:numPr>
                <w:ilvl w:val="0"/>
                <w:numId w:val="36"/>
              </w:numPr>
            </w:pPr>
            <w:r w:rsidRPr="00FB5C97">
              <w:t>Shape service</w:t>
            </w:r>
            <w:r w:rsidRPr="00FB5C97">
              <w:noBreakHyphen/>
              <w:t>level reporting requirements and lead the development of high</w:t>
            </w:r>
            <w:r w:rsidRPr="00FB5C97">
              <w:noBreakHyphen/>
              <w:t>quality dashboards, datasets and analytical products.</w:t>
            </w:r>
          </w:p>
          <w:p w14:paraId="5A322E27" w14:textId="77777777" w:rsidR="00FB5C97" w:rsidRPr="00FB5C97" w:rsidRDefault="00FB5C97" w:rsidP="00FB5C97">
            <w:pPr>
              <w:pStyle w:val="Default"/>
              <w:numPr>
                <w:ilvl w:val="0"/>
                <w:numId w:val="36"/>
              </w:numPr>
            </w:pPr>
            <w:r w:rsidRPr="00FB5C97">
              <w:t>Create reusable, high</w:t>
            </w:r>
            <w:r w:rsidRPr="00FB5C97">
              <w:noBreakHyphen/>
              <w:t>value insight assets that support consistency and scalability across the organisation.</w:t>
            </w:r>
          </w:p>
          <w:p w14:paraId="5221689B" w14:textId="77777777" w:rsidR="00FB5C97" w:rsidRPr="00FB5C97" w:rsidRDefault="00FB5C97" w:rsidP="00FB5C97">
            <w:pPr>
              <w:pStyle w:val="Default"/>
              <w:numPr>
                <w:ilvl w:val="0"/>
                <w:numId w:val="36"/>
              </w:numPr>
            </w:pPr>
            <w:r w:rsidRPr="00FB5C97">
              <w:t>Ensure insight is timely, robust and aligned with organisational priorities.</w:t>
            </w:r>
          </w:p>
          <w:p w14:paraId="66B6E55D" w14:textId="77777777" w:rsidR="00FB5C97" w:rsidRDefault="00FB5C97" w:rsidP="00FB5C97">
            <w:pPr>
              <w:pStyle w:val="Default"/>
              <w:numPr>
                <w:ilvl w:val="0"/>
                <w:numId w:val="36"/>
              </w:numPr>
            </w:pPr>
            <w:r w:rsidRPr="00FB5C97">
              <w:t>Support the adoption of automation and improved analytical processes where appropriate.</w:t>
            </w:r>
          </w:p>
          <w:p w14:paraId="31C6F640" w14:textId="77777777" w:rsidR="00FB5C97" w:rsidRPr="00FB5C97" w:rsidRDefault="00FB5C97" w:rsidP="00FB5C97">
            <w:pPr>
              <w:pStyle w:val="Default"/>
              <w:ind w:left="720"/>
            </w:pPr>
          </w:p>
          <w:p w14:paraId="1189FF93" w14:textId="77777777" w:rsidR="00FB5C97" w:rsidRPr="00FB5C97" w:rsidRDefault="00FB5C97" w:rsidP="00FB5C97">
            <w:pPr>
              <w:pStyle w:val="Default"/>
              <w:rPr>
                <w:b/>
                <w:bCs/>
              </w:rPr>
            </w:pPr>
            <w:r w:rsidRPr="00FB5C97">
              <w:rPr>
                <w:b/>
                <w:bCs/>
              </w:rPr>
              <w:t>Governance, Standards and Responsible Data Use</w:t>
            </w:r>
          </w:p>
          <w:p w14:paraId="761E5542" w14:textId="77777777" w:rsidR="00FB5C97" w:rsidRPr="00FB5C97" w:rsidRDefault="00FB5C97" w:rsidP="00FB5C97">
            <w:pPr>
              <w:pStyle w:val="Default"/>
              <w:numPr>
                <w:ilvl w:val="0"/>
                <w:numId w:val="37"/>
              </w:numPr>
            </w:pPr>
            <w:r w:rsidRPr="00FB5C97">
              <w:t>Promote responsible, secure and compliant use of data within services.</w:t>
            </w:r>
          </w:p>
          <w:p w14:paraId="04B9C149" w14:textId="77777777" w:rsidR="00FB5C97" w:rsidRPr="00FB5C97" w:rsidRDefault="00FB5C97" w:rsidP="00FB5C97">
            <w:pPr>
              <w:pStyle w:val="Default"/>
              <w:numPr>
                <w:ilvl w:val="0"/>
                <w:numId w:val="37"/>
              </w:numPr>
            </w:pPr>
            <w:r w:rsidRPr="00FB5C97">
              <w:t>Apply organisational data standards, policies and quality assurance processes to all insight products.</w:t>
            </w:r>
          </w:p>
          <w:p w14:paraId="6538CE2E" w14:textId="77777777" w:rsidR="00FB5C97" w:rsidRPr="00FB5C97" w:rsidRDefault="00FB5C97" w:rsidP="00FB5C97">
            <w:pPr>
              <w:pStyle w:val="Default"/>
              <w:numPr>
                <w:ilvl w:val="0"/>
                <w:numId w:val="37"/>
              </w:numPr>
            </w:pPr>
            <w:r w:rsidRPr="00FB5C97">
              <w:t>Support services to understand data quality issues and their impact on analysis and decision</w:t>
            </w:r>
            <w:r w:rsidRPr="00FB5C97">
              <w:noBreakHyphen/>
              <w:t>making.</w:t>
            </w:r>
          </w:p>
          <w:p w14:paraId="4F4AB18C" w14:textId="77777777" w:rsidR="00FB5C97" w:rsidRDefault="00FB5C97" w:rsidP="00FB5C97">
            <w:pPr>
              <w:pStyle w:val="Default"/>
              <w:numPr>
                <w:ilvl w:val="0"/>
                <w:numId w:val="37"/>
              </w:numPr>
            </w:pPr>
            <w:r w:rsidRPr="00FB5C97">
              <w:t>Champion data literacy and evidence</w:t>
            </w:r>
            <w:r w:rsidRPr="00FB5C97">
              <w:noBreakHyphen/>
              <w:t>based practice across the organisation.</w:t>
            </w:r>
          </w:p>
          <w:p w14:paraId="47AA8FDC" w14:textId="77777777" w:rsidR="00FB5C97" w:rsidRPr="00FB5C97" w:rsidRDefault="00FB5C97" w:rsidP="00FB5C97">
            <w:pPr>
              <w:pStyle w:val="Default"/>
              <w:ind w:left="720"/>
            </w:pPr>
          </w:p>
          <w:p w14:paraId="7F8A24D8" w14:textId="77777777" w:rsidR="00FB5C97" w:rsidRPr="00FB5C97" w:rsidRDefault="00FB5C97" w:rsidP="00FB5C97">
            <w:pPr>
              <w:pStyle w:val="Default"/>
              <w:rPr>
                <w:b/>
                <w:bCs/>
              </w:rPr>
            </w:pPr>
            <w:r w:rsidRPr="00FB5C97">
              <w:rPr>
                <w:b/>
                <w:bCs/>
              </w:rPr>
              <w:t>Organisational Data Culture and Literacy</w:t>
            </w:r>
          </w:p>
          <w:p w14:paraId="71B45C44" w14:textId="77777777" w:rsidR="00FB5C97" w:rsidRPr="00FB5C97" w:rsidRDefault="00FB5C97" w:rsidP="00FB5C97">
            <w:pPr>
              <w:pStyle w:val="Default"/>
              <w:numPr>
                <w:ilvl w:val="0"/>
                <w:numId w:val="38"/>
              </w:numPr>
            </w:pPr>
            <w:r w:rsidRPr="00FB5C97">
              <w:t>Contribute actively to the intelligence and data community of practice, sharing learning and best practice.</w:t>
            </w:r>
          </w:p>
          <w:p w14:paraId="2F4488D3" w14:textId="77777777" w:rsidR="00FB5C97" w:rsidRPr="00FB5C97" w:rsidRDefault="00FB5C97" w:rsidP="00FB5C97">
            <w:pPr>
              <w:pStyle w:val="Default"/>
              <w:numPr>
                <w:ilvl w:val="0"/>
                <w:numId w:val="38"/>
              </w:numPr>
            </w:pPr>
            <w:r w:rsidRPr="00FB5C97">
              <w:t>Identify synergies and opportunities to streamline reporting and insight across services.</w:t>
            </w:r>
          </w:p>
          <w:p w14:paraId="7341E4AF" w14:textId="77777777" w:rsidR="00FB5C97" w:rsidRPr="00FB5C97" w:rsidRDefault="00FB5C97" w:rsidP="00FB5C97">
            <w:pPr>
              <w:pStyle w:val="Default"/>
              <w:numPr>
                <w:ilvl w:val="0"/>
                <w:numId w:val="38"/>
              </w:numPr>
            </w:pPr>
            <w:r w:rsidRPr="00FB5C97">
              <w:t>Support and lead change initiatives that embed insight into everyday decision</w:t>
            </w:r>
            <w:r w:rsidRPr="00FB5C97">
              <w:noBreakHyphen/>
              <w:t>making.</w:t>
            </w:r>
          </w:p>
          <w:p w14:paraId="41EF0C34" w14:textId="77777777" w:rsidR="00FB5C97" w:rsidRPr="00FB5C97" w:rsidRDefault="00FB5C97" w:rsidP="00FB5C97">
            <w:pPr>
              <w:pStyle w:val="Default"/>
              <w:numPr>
                <w:ilvl w:val="0"/>
                <w:numId w:val="38"/>
              </w:numPr>
            </w:pPr>
            <w:r w:rsidRPr="00FB5C97">
              <w:t>Work closely with the central Data &amp; Analytics team to ensure service needs inform wider data product development.</w:t>
            </w:r>
          </w:p>
          <w:p w14:paraId="74BCA0B2" w14:textId="77777777" w:rsidR="005F4737" w:rsidRPr="00C466DF" w:rsidRDefault="005F4737" w:rsidP="00FB5C97">
            <w:pPr>
              <w:pStyle w:val="Default"/>
            </w:pPr>
          </w:p>
        </w:tc>
      </w:tr>
    </w:tbl>
    <w:p w14:paraId="22EF59B6" w14:textId="77777777" w:rsidR="00103393" w:rsidRDefault="00103393"/>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D03B5" w:rsidRPr="00784003" w14:paraId="7600D82F" w14:textId="77777777" w:rsidTr="00103393">
        <w:tc>
          <w:tcPr>
            <w:tcW w:w="10773" w:type="dxa"/>
            <w:shd w:val="clear" w:color="auto" w:fill="A50021"/>
          </w:tcPr>
          <w:p w14:paraId="53516E49" w14:textId="77777777" w:rsidR="002D03B5" w:rsidRPr="00784003" w:rsidRDefault="00C836C6" w:rsidP="00184609">
            <w:pPr>
              <w:spacing w:before="120" w:after="120" w:line="240" w:lineRule="auto"/>
              <w:rPr>
                <w:rFonts w:ascii="Arial" w:hAnsi="Arial" w:cs="Arial"/>
                <w:sz w:val="24"/>
                <w:szCs w:val="24"/>
              </w:rPr>
            </w:pPr>
            <w:r>
              <w:rPr>
                <w:rFonts w:ascii="Arial" w:hAnsi="Arial" w:cs="Arial"/>
                <w:b/>
                <w:sz w:val="24"/>
                <w:szCs w:val="24"/>
              </w:rPr>
              <w:t>Other</w:t>
            </w:r>
          </w:p>
        </w:tc>
      </w:tr>
      <w:tr w:rsidR="002D03B5" w:rsidRPr="00784003" w14:paraId="555C169D" w14:textId="77777777" w:rsidTr="00BE7A35">
        <w:tc>
          <w:tcPr>
            <w:tcW w:w="10773" w:type="dxa"/>
          </w:tcPr>
          <w:p w14:paraId="197271F9" w14:textId="77777777" w:rsidR="00946AFC" w:rsidRDefault="00946AFC" w:rsidP="00946AFC">
            <w:pPr>
              <w:pStyle w:val="HayGroup11"/>
              <w:rPr>
                <w:rFonts w:ascii="Arial" w:hAnsi="Arial" w:cs="Arial"/>
                <w:sz w:val="24"/>
                <w:lang w:val="en-GB"/>
              </w:rPr>
            </w:pPr>
          </w:p>
          <w:p w14:paraId="568B0A57" w14:textId="77777777" w:rsidR="00C836C6" w:rsidRPr="00C836C6" w:rsidRDefault="00C836C6" w:rsidP="00877FD0">
            <w:pPr>
              <w:pStyle w:val="Default"/>
              <w:numPr>
                <w:ilvl w:val="0"/>
                <w:numId w:val="18"/>
              </w:numPr>
              <w:rPr>
                <w:b/>
              </w:rPr>
            </w:pPr>
            <w:r w:rsidRPr="00C836C6">
              <w:rPr>
                <w:b/>
              </w:rPr>
              <w:t>Equal Opportunities</w:t>
            </w:r>
          </w:p>
          <w:p w14:paraId="2F187DE1" w14:textId="77777777" w:rsidR="0012367F" w:rsidRDefault="00C836C6" w:rsidP="00C836C6">
            <w:pPr>
              <w:pStyle w:val="Default"/>
              <w:ind w:left="360"/>
            </w:pPr>
            <w:r>
              <w:t>We are committed to achieving equal opportunities in the way we deliver services to the community and in our employment arrangements. We expect all employees to understand and promote this policy in their work</w:t>
            </w:r>
            <w:r w:rsidR="00707A73" w:rsidRPr="00963600">
              <w:t>.</w:t>
            </w:r>
            <w:r w:rsidR="0012367F" w:rsidRPr="00963600">
              <w:t xml:space="preserve"> </w:t>
            </w:r>
          </w:p>
          <w:p w14:paraId="59A1E526" w14:textId="77777777" w:rsidR="00A7579B" w:rsidRPr="00963600" w:rsidRDefault="00A7579B" w:rsidP="00C836C6">
            <w:pPr>
              <w:pStyle w:val="Default"/>
              <w:ind w:left="360"/>
            </w:pPr>
          </w:p>
          <w:p w14:paraId="32E0B66D" w14:textId="77777777" w:rsidR="00C836C6" w:rsidRPr="00C836C6" w:rsidRDefault="00C836C6" w:rsidP="00877FD0">
            <w:pPr>
              <w:pStyle w:val="Default"/>
              <w:numPr>
                <w:ilvl w:val="0"/>
                <w:numId w:val="18"/>
              </w:numPr>
              <w:rPr>
                <w:b/>
              </w:rPr>
            </w:pPr>
            <w:r w:rsidRPr="00C836C6">
              <w:rPr>
                <w:b/>
              </w:rPr>
              <w:t>Health and safety</w:t>
            </w:r>
          </w:p>
          <w:p w14:paraId="71C34258" w14:textId="77777777" w:rsidR="0012367F" w:rsidRDefault="00C836C6" w:rsidP="00C836C6">
            <w:pPr>
              <w:pStyle w:val="Default"/>
              <w:ind w:left="360"/>
            </w:pPr>
            <w:r>
              <w:t>All employees have a responsibility for their own health and safety and that of others when carrying out their duties and must help us to apply our general statement of health and safety policy</w:t>
            </w:r>
            <w:r w:rsidR="00963600" w:rsidRPr="00963600">
              <w:t>.</w:t>
            </w:r>
            <w:r w:rsidR="0012367F" w:rsidRPr="00963600">
              <w:t xml:space="preserve"> </w:t>
            </w:r>
          </w:p>
          <w:p w14:paraId="6AD5267F" w14:textId="77777777" w:rsidR="00A7579B" w:rsidRPr="00963600" w:rsidRDefault="00A7579B" w:rsidP="00C836C6">
            <w:pPr>
              <w:pStyle w:val="Default"/>
              <w:ind w:left="360"/>
            </w:pPr>
          </w:p>
          <w:p w14:paraId="0E32D225" w14:textId="77777777" w:rsidR="00B45889" w:rsidRPr="00C836C6" w:rsidRDefault="00B45889" w:rsidP="00B45889">
            <w:pPr>
              <w:pStyle w:val="Default"/>
              <w:numPr>
                <w:ilvl w:val="0"/>
                <w:numId w:val="18"/>
              </w:numPr>
              <w:rPr>
                <w:b/>
              </w:rPr>
            </w:pPr>
            <w:r>
              <w:rPr>
                <w:b/>
              </w:rPr>
              <w:t>Customer Focused</w:t>
            </w:r>
          </w:p>
          <w:p w14:paraId="4EB4A098" w14:textId="77777777" w:rsidR="00B45889" w:rsidRDefault="00B45889" w:rsidP="00B45889">
            <w:pPr>
              <w:pStyle w:val="Default"/>
              <w:ind w:left="360"/>
            </w:pPr>
            <w:r>
              <w:t xml:space="preserve">We put our customers' needs and expectations at the heart of all that we do. We expect our employees to have a full understanding of those needs and expectations so that we can provide high quality, appropriate services </w:t>
            </w:r>
            <w:proofErr w:type="gramStart"/>
            <w:r>
              <w:t>at all times</w:t>
            </w:r>
            <w:proofErr w:type="gramEnd"/>
            <w:r>
              <w:t>.</w:t>
            </w:r>
          </w:p>
          <w:p w14:paraId="0281C82E" w14:textId="77777777" w:rsidR="00883689" w:rsidRDefault="00883689" w:rsidP="00883689">
            <w:pPr>
              <w:pStyle w:val="Default"/>
              <w:ind w:left="360"/>
              <w:rPr>
                <w:b/>
              </w:rPr>
            </w:pPr>
          </w:p>
          <w:p w14:paraId="47E941D6" w14:textId="77777777" w:rsidR="00883689" w:rsidRPr="00CA6258" w:rsidRDefault="00883689" w:rsidP="00883689">
            <w:pPr>
              <w:pStyle w:val="Default"/>
              <w:numPr>
                <w:ilvl w:val="0"/>
                <w:numId w:val="18"/>
              </w:numPr>
              <w:rPr>
                <w:b/>
              </w:rPr>
            </w:pPr>
            <w:r w:rsidRPr="00CA6258">
              <w:rPr>
                <w:b/>
              </w:rPr>
              <w:t>Safeguarding Commitment</w:t>
            </w:r>
          </w:p>
          <w:p w14:paraId="5A8F8044" w14:textId="77777777" w:rsidR="00883689" w:rsidRDefault="00883689" w:rsidP="00883689">
            <w:pPr>
              <w:pStyle w:val="Default"/>
              <w:ind w:left="360"/>
            </w:pPr>
            <w:r>
              <w:t>We are committed to protecting and promoting the welfare of children, young people and vulnerable adults.</w:t>
            </w:r>
          </w:p>
          <w:p w14:paraId="4E389329" w14:textId="77777777" w:rsidR="00883689" w:rsidRDefault="00883689" w:rsidP="00883689">
            <w:pPr>
              <w:pStyle w:val="Default"/>
              <w:ind w:left="360"/>
            </w:pPr>
          </w:p>
          <w:p w14:paraId="6B72594B" w14:textId="77777777" w:rsidR="00883689" w:rsidRPr="00CA6258" w:rsidRDefault="00883689" w:rsidP="00883689">
            <w:pPr>
              <w:pStyle w:val="Default"/>
              <w:numPr>
                <w:ilvl w:val="0"/>
                <w:numId w:val="18"/>
              </w:numPr>
              <w:rPr>
                <w:b/>
              </w:rPr>
            </w:pPr>
            <w:r w:rsidRPr="00CA6258">
              <w:rPr>
                <w:b/>
              </w:rPr>
              <w:lastRenderedPageBreak/>
              <w:t>Skills Pledge</w:t>
            </w:r>
          </w:p>
          <w:p w14:paraId="1CD88470" w14:textId="77777777" w:rsidR="00883689" w:rsidRDefault="00883689" w:rsidP="00883689">
            <w:pPr>
              <w:pStyle w:val="Default"/>
              <w:ind w:left="360"/>
            </w:pPr>
            <w:r>
              <w:t>We are committed to developing the skills of our workforce. All employees will be supported to work towards a level 2 qualification in literacy and numeracy if they do not have one already.</w:t>
            </w:r>
          </w:p>
          <w:p w14:paraId="395D8FA2" w14:textId="77777777" w:rsidR="00946AFC" w:rsidRPr="00784003" w:rsidRDefault="00946AFC" w:rsidP="003E0AC5">
            <w:pPr>
              <w:pStyle w:val="Default"/>
              <w:ind w:left="360"/>
            </w:pPr>
          </w:p>
        </w:tc>
      </w:tr>
    </w:tbl>
    <w:p w14:paraId="48DC59EE" w14:textId="77777777" w:rsidR="00103393" w:rsidRDefault="00103393"/>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D61C2" w:rsidRPr="00784003" w14:paraId="77DF1DF6" w14:textId="77777777" w:rsidTr="00103393">
        <w:tc>
          <w:tcPr>
            <w:tcW w:w="10773" w:type="dxa"/>
            <w:shd w:val="clear" w:color="auto" w:fill="A50021"/>
          </w:tcPr>
          <w:p w14:paraId="4872D195" w14:textId="77777777" w:rsidR="002D61C2" w:rsidRPr="002D61C2" w:rsidRDefault="002D61C2" w:rsidP="002D61C2">
            <w:pPr>
              <w:pStyle w:val="HayGroup11"/>
              <w:spacing w:before="120" w:after="120"/>
              <w:rPr>
                <w:rFonts w:ascii="Arial" w:hAnsi="Arial" w:cs="Arial"/>
                <w:b/>
                <w:sz w:val="24"/>
                <w:lang w:val="en-GB"/>
              </w:rPr>
            </w:pPr>
            <w:r w:rsidRPr="002D61C2">
              <w:rPr>
                <w:rFonts w:ascii="Arial" w:hAnsi="Arial" w:cs="Arial"/>
                <w:b/>
                <w:sz w:val="24"/>
                <w:lang w:val="en-GB"/>
              </w:rPr>
              <w:t>Our Values</w:t>
            </w:r>
          </w:p>
        </w:tc>
      </w:tr>
      <w:tr w:rsidR="002D61C2" w:rsidRPr="00784003" w14:paraId="7E493B89" w14:textId="77777777" w:rsidTr="00BE7A35">
        <w:tc>
          <w:tcPr>
            <w:tcW w:w="10773" w:type="dxa"/>
          </w:tcPr>
          <w:p w14:paraId="458D6898" w14:textId="77777777" w:rsidR="002D61C2" w:rsidRDefault="002D61C2" w:rsidP="002D61C2">
            <w:pPr>
              <w:pStyle w:val="Default"/>
              <w:ind w:left="360"/>
              <w:rPr>
                <w:b/>
              </w:rPr>
            </w:pPr>
          </w:p>
          <w:p w14:paraId="5CF25D5E" w14:textId="77777777" w:rsidR="002D61C2" w:rsidRDefault="002D61C2" w:rsidP="002D61C2">
            <w:pPr>
              <w:pStyle w:val="Default"/>
              <w:rPr>
                <w:b/>
              </w:rPr>
            </w:pPr>
            <w:r>
              <w:rPr>
                <w:b/>
              </w:rPr>
              <w:t>We expect all our employees to demonstrate and promote our values:</w:t>
            </w:r>
          </w:p>
          <w:p w14:paraId="58F4CA4B" w14:textId="77777777" w:rsidR="002D61C2" w:rsidRDefault="002D61C2" w:rsidP="002D61C2">
            <w:pPr>
              <w:pStyle w:val="Default"/>
              <w:ind w:left="360"/>
              <w:rPr>
                <w:b/>
              </w:rPr>
            </w:pPr>
          </w:p>
          <w:p w14:paraId="420195B5" w14:textId="77777777" w:rsidR="002D61C2" w:rsidRPr="00C836C6" w:rsidRDefault="002D61C2" w:rsidP="002D61C2">
            <w:pPr>
              <w:pStyle w:val="Default"/>
              <w:numPr>
                <w:ilvl w:val="0"/>
                <w:numId w:val="18"/>
              </w:numPr>
              <w:rPr>
                <w:b/>
              </w:rPr>
            </w:pPr>
            <w:r>
              <w:rPr>
                <w:b/>
              </w:rPr>
              <w:t>Supportive</w:t>
            </w:r>
          </w:p>
          <w:p w14:paraId="51D92143" w14:textId="77777777" w:rsidR="002D61C2" w:rsidRPr="005F0153" w:rsidRDefault="002D61C2" w:rsidP="002D61C2">
            <w:pPr>
              <w:pStyle w:val="Default"/>
              <w:ind w:left="360"/>
              <w:rPr>
                <w:color w:val="auto"/>
              </w:rPr>
            </w:pPr>
            <w:r w:rsidRPr="005F0153">
              <w:rPr>
                <w:color w:val="auto"/>
              </w:rPr>
              <w:t>We are supportive of our customers and colleagues, recognising their contributions and making the best of their strengths to enable our communities to flourish.</w:t>
            </w:r>
          </w:p>
          <w:p w14:paraId="11DDDF62" w14:textId="77777777" w:rsidR="002D61C2" w:rsidRDefault="002D61C2" w:rsidP="002D61C2">
            <w:pPr>
              <w:pStyle w:val="Default"/>
              <w:ind w:left="360"/>
              <w:rPr>
                <w:color w:val="333333"/>
              </w:rPr>
            </w:pPr>
          </w:p>
          <w:p w14:paraId="07CF767E" w14:textId="77777777" w:rsidR="002D61C2" w:rsidRPr="002D61C2" w:rsidRDefault="002D61C2" w:rsidP="002D61C2">
            <w:pPr>
              <w:pStyle w:val="Default"/>
              <w:numPr>
                <w:ilvl w:val="0"/>
                <w:numId w:val="18"/>
              </w:numPr>
              <w:rPr>
                <w:b/>
              </w:rPr>
            </w:pPr>
            <w:r w:rsidRPr="002D61C2">
              <w:rPr>
                <w:b/>
              </w:rPr>
              <w:t>Innovative</w:t>
            </w:r>
          </w:p>
          <w:p w14:paraId="3D01629E" w14:textId="77777777" w:rsidR="002D61C2" w:rsidRPr="005F0153" w:rsidRDefault="002D61C2" w:rsidP="002D61C2">
            <w:pPr>
              <w:pStyle w:val="Default"/>
              <w:ind w:left="360"/>
              <w:rPr>
                <w:color w:val="auto"/>
              </w:rPr>
            </w:pPr>
            <w:r w:rsidRPr="005F0153">
              <w:rPr>
                <w:color w:val="auto"/>
              </w:rPr>
              <w:t>We deliver the best services we possibly can, always looking for creative ways to do things better, putting the customer at the heart of our thinking, and being ambitious and focused on how we can deliver the best services now and in the future.</w:t>
            </w:r>
          </w:p>
          <w:p w14:paraId="79310CA1" w14:textId="77777777" w:rsidR="002D61C2" w:rsidRDefault="002D61C2" w:rsidP="002D61C2">
            <w:pPr>
              <w:pStyle w:val="Default"/>
              <w:ind w:left="360"/>
              <w:rPr>
                <w:color w:val="333333"/>
              </w:rPr>
            </w:pPr>
          </w:p>
          <w:p w14:paraId="69BE7665" w14:textId="77777777" w:rsidR="002D61C2" w:rsidRPr="002D61C2" w:rsidRDefault="002D61C2" w:rsidP="002D61C2">
            <w:pPr>
              <w:pStyle w:val="Default"/>
              <w:numPr>
                <w:ilvl w:val="0"/>
                <w:numId w:val="18"/>
              </w:numPr>
              <w:rPr>
                <w:b/>
              </w:rPr>
            </w:pPr>
            <w:r w:rsidRPr="002D61C2">
              <w:rPr>
                <w:b/>
              </w:rPr>
              <w:t>Respectful</w:t>
            </w:r>
          </w:p>
          <w:p w14:paraId="4AD0EEE9" w14:textId="77777777" w:rsidR="002D61C2" w:rsidRPr="005F0153" w:rsidRDefault="002D61C2" w:rsidP="002D61C2">
            <w:pPr>
              <w:pStyle w:val="Default"/>
              <w:ind w:left="360"/>
              <w:rPr>
                <w:color w:val="auto"/>
              </w:rPr>
            </w:pPr>
            <w:r w:rsidRPr="005F0153">
              <w:rPr>
                <w:color w:val="auto"/>
              </w:rPr>
              <w:t>We treat colleagues, customers and partners with respect, listening to their views, empathising and valuing their diverse needs and perspectives, to be fair, open and honest in all that we do.</w:t>
            </w:r>
          </w:p>
          <w:p w14:paraId="4C6A41E7" w14:textId="77777777" w:rsidR="002D61C2" w:rsidRDefault="002D61C2" w:rsidP="002D61C2">
            <w:pPr>
              <w:pStyle w:val="Default"/>
              <w:ind w:left="360"/>
              <w:rPr>
                <w:color w:val="333333"/>
              </w:rPr>
            </w:pPr>
          </w:p>
          <w:p w14:paraId="236F0BEB" w14:textId="77777777" w:rsidR="002D61C2" w:rsidRPr="002D61C2" w:rsidRDefault="002D61C2" w:rsidP="002D61C2">
            <w:pPr>
              <w:pStyle w:val="Default"/>
              <w:numPr>
                <w:ilvl w:val="0"/>
                <w:numId w:val="18"/>
              </w:numPr>
              <w:rPr>
                <w:b/>
              </w:rPr>
            </w:pPr>
            <w:r w:rsidRPr="002D61C2">
              <w:rPr>
                <w:b/>
              </w:rPr>
              <w:t>Collaborative</w:t>
            </w:r>
          </w:p>
          <w:p w14:paraId="7628F768" w14:textId="77777777" w:rsidR="002D61C2" w:rsidRPr="005F0153" w:rsidRDefault="002D61C2" w:rsidP="002D61C2">
            <w:pPr>
              <w:pStyle w:val="Default"/>
              <w:ind w:left="360"/>
              <w:rPr>
                <w:color w:val="auto"/>
              </w:rPr>
            </w:pPr>
            <w:r w:rsidRPr="005F0153">
              <w:rPr>
                <w:color w:val="auto"/>
              </w:rPr>
              <w:t>We listen to, engage with, learn from and work with colleagues, partners and customers to help achieve the best outcomes for everyone.</w:t>
            </w:r>
          </w:p>
          <w:p w14:paraId="1CA84419" w14:textId="77777777" w:rsidR="002D61C2" w:rsidRPr="002D61C2" w:rsidRDefault="002D61C2" w:rsidP="002D61C2">
            <w:pPr>
              <w:pStyle w:val="HayGroup11"/>
              <w:spacing w:before="120" w:after="120"/>
              <w:rPr>
                <w:rFonts w:ascii="Arial" w:hAnsi="Arial" w:cs="Arial"/>
                <w:b/>
                <w:sz w:val="24"/>
                <w:lang w:val="en-GB"/>
              </w:rPr>
            </w:pPr>
          </w:p>
        </w:tc>
      </w:tr>
    </w:tbl>
    <w:p w14:paraId="5A7DE969" w14:textId="77777777" w:rsidR="00725524" w:rsidRPr="00784003" w:rsidRDefault="00725524" w:rsidP="00081256">
      <w:pPr>
        <w:spacing w:after="0"/>
        <w:rPr>
          <w:rFonts w:ascii="Arial" w:hAnsi="Arial" w:cs="Arial"/>
          <w:sz w:val="24"/>
          <w:szCs w:val="24"/>
        </w:rPr>
      </w:pPr>
    </w:p>
    <w:p w14:paraId="2B7037B0" w14:textId="77777777" w:rsidR="00CC6993" w:rsidRDefault="003E0AC5" w:rsidP="003E0AC5">
      <w:pPr>
        <w:tabs>
          <w:tab w:val="left" w:pos="960"/>
        </w:tabs>
        <w:rPr>
          <w:sz w:val="23"/>
          <w:szCs w:val="23"/>
        </w:rPr>
      </w:pPr>
      <w:r>
        <w:rPr>
          <w:sz w:val="23"/>
          <w:szCs w:val="23"/>
        </w:rPr>
        <w:tab/>
      </w:r>
    </w:p>
    <w:p w14:paraId="0B152CEA" w14:textId="77777777" w:rsidR="0087424C" w:rsidRDefault="0087424C" w:rsidP="00CB5A66">
      <w:pPr>
        <w:spacing w:after="0" w:line="240" w:lineRule="auto"/>
        <w:jc w:val="center"/>
        <w:rPr>
          <w:rFonts w:ascii="Arial" w:hAnsi="Arial" w:cs="Arial"/>
          <w:b/>
          <w:sz w:val="28"/>
          <w:szCs w:val="28"/>
        </w:rPr>
      </w:pPr>
      <w:r>
        <w:rPr>
          <w:rFonts w:ascii="Arial" w:hAnsi="Arial" w:cs="Arial"/>
          <w:sz w:val="24"/>
          <w:szCs w:val="24"/>
        </w:rPr>
        <w:br w:type="page"/>
      </w:r>
      <w:r>
        <w:rPr>
          <w:rFonts w:ascii="Arial" w:hAnsi="Arial" w:cs="Arial"/>
          <w:b/>
          <w:sz w:val="28"/>
          <w:szCs w:val="28"/>
        </w:rPr>
        <w:lastRenderedPageBreak/>
        <w:t>Person Specification</w:t>
      </w:r>
    </w:p>
    <w:p w14:paraId="4668B58B" w14:textId="77777777" w:rsidR="0087424C" w:rsidRPr="00093214" w:rsidRDefault="0087424C" w:rsidP="0087424C">
      <w:pPr>
        <w:spacing w:after="0" w:line="240" w:lineRule="auto"/>
        <w:jc w:val="center"/>
        <w:rPr>
          <w:rFonts w:ascii="Arial" w:hAnsi="Arial" w:cs="Arial"/>
          <w:b/>
          <w:sz w:val="24"/>
          <w:szCs w:val="24"/>
        </w:rPr>
      </w:pPr>
    </w:p>
    <w:p w14:paraId="3A09799A" w14:textId="77777777" w:rsidR="00093214" w:rsidRDefault="00093214" w:rsidP="000D74C9">
      <w:pPr>
        <w:spacing w:after="0" w:line="240" w:lineRule="auto"/>
        <w:ind w:left="142"/>
        <w:rPr>
          <w:rFonts w:ascii="Arial" w:hAnsi="Arial" w:cs="Arial"/>
          <w:sz w:val="24"/>
          <w:szCs w:val="24"/>
        </w:rPr>
      </w:pPr>
      <w:r>
        <w:rPr>
          <w:rFonts w:ascii="Arial" w:hAnsi="Arial" w:cs="Arial"/>
          <w:sz w:val="24"/>
          <w:szCs w:val="24"/>
        </w:rPr>
        <w:t>All the following requirements are e</w:t>
      </w:r>
      <w:r w:rsidR="00501B78">
        <w:rPr>
          <w:rFonts w:ascii="Arial" w:hAnsi="Arial" w:cs="Arial"/>
          <w:sz w:val="24"/>
          <w:szCs w:val="24"/>
        </w:rPr>
        <w:t>ssential unless otherwise indicated by *</w:t>
      </w:r>
    </w:p>
    <w:p w14:paraId="188AD633" w14:textId="77777777" w:rsidR="00C111C2" w:rsidRDefault="00C111C2" w:rsidP="000D74C9">
      <w:pPr>
        <w:spacing w:after="0" w:line="240" w:lineRule="auto"/>
        <w:ind w:left="142"/>
        <w:rPr>
          <w:rFonts w:ascii="Arial" w:hAnsi="Arial" w:cs="Arial"/>
          <w:sz w:val="24"/>
          <w:szCs w:val="24"/>
        </w:rPr>
      </w:pPr>
    </w:p>
    <w:p w14:paraId="2148206C" w14:textId="77777777" w:rsidR="00C111C2" w:rsidRDefault="00C111C2" w:rsidP="000D74C9">
      <w:pPr>
        <w:spacing w:after="0" w:line="240" w:lineRule="auto"/>
        <w:ind w:left="142"/>
        <w:rPr>
          <w:rFonts w:ascii="Arial" w:hAnsi="Arial" w:cs="Arial"/>
          <w:sz w:val="24"/>
          <w:szCs w:val="24"/>
        </w:rPr>
      </w:pPr>
      <w:r>
        <w:rPr>
          <w:rFonts w:ascii="Arial" w:hAnsi="Arial" w:cs="Arial"/>
          <w:sz w:val="24"/>
          <w:szCs w:val="24"/>
        </w:rPr>
        <w:t>Your ability to meet the job requirements will initially be assessed by the information provided on your application but further assessment will be undertaken at interview and, in some cases, by using other types of assessment</w:t>
      </w:r>
      <w:r w:rsidR="00BC131C">
        <w:rPr>
          <w:rFonts w:ascii="Arial" w:hAnsi="Arial" w:cs="Arial"/>
          <w:sz w:val="24"/>
          <w:szCs w:val="24"/>
        </w:rPr>
        <w:t>(s)</w:t>
      </w:r>
      <w:r>
        <w:rPr>
          <w:rFonts w:ascii="Arial" w:hAnsi="Arial" w:cs="Arial"/>
          <w:sz w:val="24"/>
          <w:szCs w:val="24"/>
        </w:rPr>
        <w:t>.</w:t>
      </w:r>
    </w:p>
    <w:p w14:paraId="6710840F" w14:textId="77777777" w:rsidR="00FA1EBA" w:rsidRPr="00093214" w:rsidRDefault="00FA1EBA" w:rsidP="000D74C9">
      <w:pPr>
        <w:spacing w:after="0" w:line="240" w:lineRule="auto"/>
        <w:ind w:left="142"/>
        <w:rPr>
          <w:rFonts w:ascii="Arial" w:hAnsi="Arial" w:cs="Arial"/>
          <w:b/>
          <w:sz w:val="24"/>
          <w:szCs w:val="24"/>
        </w:rPr>
      </w:pPr>
    </w:p>
    <w:tbl>
      <w:tblPr>
        <w:tblStyle w:val="TableGrid"/>
        <w:tblpPr w:leftFromText="180" w:rightFromText="180" w:vertAnchor="text" w:horzAnchor="margin" w:tblpX="116" w:tblpY="28"/>
        <w:tblW w:w="10495" w:type="dxa"/>
        <w:tblLook w:val="04A0" w:firstRow="1" w:lastRow="0" w:firstColumn="1" w:lastColumn="0" w:noHBand="0" w:noVBand="1"/>
      </w:tblPr>
      <w:tblGrid>
        <w:gridCol w:w="10495"/>
      </w:tblGrid>
      <w:tr w:rsidR="0087424C" w:rsidRPr="00F511C1" w14:paraId="4708FDCE"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7FA70F75" w14:textId="77777777" w:rsidR="0087424C" w:rsidRPr="00F511C1" w:rsidRDefault="0087424C" w:rsidP="00093214">
            <w:pPr>
              <w:spacing w:before="120" w:after="120"/>
              <w:rPr>
                <w:rFonts w:ascii="Arial" w:hAnsi="Arial" w:cs="Arial"/>
                <w:b/>
                <w:sz w:val="24"/>
                <w:szCs w:val="24"/>
              </w:rPr>
            </w:pPr>
            <w:r>
              <w:rPr>
                <w:rFonts w:ascii="Arial" w:hAnsi="Arial" w:cs="Arial"/>
                <w:b/>
                <w:sz w:val="24"/>
                <w:szCs w:val="24"/>
              </w:rPr>
              <w:t>Qualifications</w:t>
            </w:r>
          </w:p>
        </w:tc>
      </w:tr>
      <w:tr w:rsidR="0087424C" w:rsidRPr="00F511C1" w14:paraId="227843CC" w14:textId="77777777" w:rsidTr="00093214">
        <w:tc>
          <w:tcPr>
            <w:tcW w:w="10495" w:type="dxa"/>
            <w:tcBorders>
              <w:top w:val="single" w:sz="4" w:space="0" w:color="auto"/>
              <w:left w:val="single" w:sz="4" w:space="0" w:color="auto"/>
              <w:bottom w:val="nil"/>
              <w:right w:val="single" w:sz="4" w:space="0" w:color="auto"/>
            </w:tcBorders>
          </w:tcPr>
          <w:p w14:paraId="3EFD9CE1" w14:textId="5D7D981A" w:rsidR="0088457C" w:rsidRPr="00123EF1" w:rsidRDefault="00123EF1" w:rsidP="00123EF1">
            <w:pPr>
              <w:pStyle w:val="ListParagraph"/>
              <w:numPr>
                <w:ilvl w:val="0"/>
                <w:numId w:val="18"/>
              </w:numPr>
              <w:spacing w:beforeLines="120" w:before="288" w:afterLines="120" w:after="288" w:line="240" w:lineRule="auto"/>
              <w:ind w:left="357" w:hanging="357"/>
              <w:jc w:val="both"/>
              <w:rPr>
                <w:rFonts w:ascii="Arial" w:hAnsi="Arial" w:cs="Arial"/>
                <w:sz w:val="24"/>
                <w:szCs w:val="24"/>
              </w:rPr>
            </w:pPr>
            <w:r w:rsidRPr="00123EF1">
              <w:rPr>
                <w:rFonts w:ascii="Arial" w:hAnsi="Arial" w:cs="Arial"/>
                <w:sz w:val="24"/>
                <w:szCs w:val="24"/>
              </w:rPr>
              <w:t>Degree</w:t>
            </w:r>
            <w:r w:rsidRPr="00123EF1">
              <w:rPr>
                <w:rFonts w:ascii="Arial" w:hAnsi="Arial" w:cs="Arial"/>
                <w:sz w:val="24"/>
                <w:szCs w:val="24"/>
              </w:rPr>
              <w:noBreakHyphen/>
              <w:t>level qualification (or equivalent professional experience) in data, analytics, social research, statistics, information management or a related field.</w:t>
            </w:r>
          </w:p>
        </w:tc>
      </w:tr>
      <w:tr w:rsidR="0087424C" w:rsidRPr="00C80087" w14:paraId="41F37F01"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7ACDBDB3" w14:textId="77777777" w:rsidR="0087424C" w:rsidRPr="0087424C" w:rsidRDefault="0087424C" w:rsidP="00093214">
            <w:pPr>
              <w:spacing w:before="120" w:after="120"/>
              <w:rPr>
                <w:rFonts w:ascii="Arial" w:hAnsi="Arial" w:cs="Arial"/>
                <w:b/>
                <w:sz w:val="24"/>
                <w:szCs w:val="24"/>
              </w:rPr>
            </w:pPr>
            <w:r w:rsidRPr="0087424C">
              <w:rPr>
                <w:rFonts w:ascii="Arial" w:hAnsi="Arial" w:cs="Arial"/>
                <w:b/>
                <w:sz w:val="24"/>
                <w:szCs w:val="24"/>
              </w:rPr>
              <w:t xml:space="preserve">Experience </w:t>
            </w:r>
          </w:p>
        </w:tc>
      </w:tr>
      <w:tr w:rsidR="0087424C" w:rsidRPr="00C80087" w14:paraId="7BA55840" w14:textId="77777777" w:rsidTr="00093214">
        <w:tc>
          <w:tcPr>
            <w:tcW w:w="10495" w:type="dxa"/>
            <w:tcBorders>
              <w:top w:val="nil"/>
              <w:left w:val="single" w:sz="4" w:space="0" w:color="auto"/>
              <w:bottom w:val="nil"/>
              <w:right w:val="single" w:sz="4" w:space="0" w:color="auto"/>
            </w:tcBorders>
          </w:tcPr>
          <w:p w14:paraId="2CD7DFEB" w14:textId="77777777" w:rsidR="00491DD3" w:rsidRPr="00491DD3" w:rsidRDefault="00491DD3" w:rsidP="00491DD3">
            <w:pPr>
              <w:pStyle w:val="ListParagraph"/>
              <w:numPr>
                <w:ilvl w:val="0"/>
                <w:numId w:val="18"/>
              </w:numPr>
              <w:spacing w:after="0" w:line="240" w:lineRule="auto"/>
              <w:rPr>
                <w:rFonts w:ascii="Arial" w:hAnsi="Arial" w:cs="Arial"/>
                <w:sz w:val="24"/>
                <w:szCs w:val="24"/>
              </w:rPr>
            </w:pPr>
            <w:r w:rsidRPr="00491DD3">
              <w:rPr>
                <w:rFonts w:ascii="Arial" w:hAnsi="Arial" w:cs="Arial"/>
                <w:sz w:val="24"/>
                <w:szCs w:val="24"/>
              </w:rPr>
              <w:t>Significant experience providing strategic insight, intelligence or analytical support to senior leaders.</w:t>
            </w:r>
          </w:p>
          <w:p w14:paraId="70B61149" w14:textId="77777777" w:rsidR="00491DD3" w:rsidRPr="00491DD3" w:rsidRDefault="00491DD3" w:rsidP="00491DD3">
            <w:pPr>
              <w:pStyle w:val="ListParagraph"/>
              <w:numPr>
                <w:ilvl w:val="0"/>
                <w:numId w:val="18"/>
              </w:numPr>
              <w:spacing w:after="0" w:line="240" w:lineRule="auto"/>
              <w:rPr>
                <w:rFonts w:ascii="Arial" w:hAnsi="Arial" w:cs="Arial"/>
                <w:sz w:val="24"/>
                <w:szCs w:val="24"/>
              </w:rPr>
            </w:pPr>
            <w:r w:rsidRPr="00491DD3">
              <w:rPr>
                <w:rFonts w:ascii="Arial" w:hAnsi="Arial" w:cs="Arial"/>
                <w:sz w:val="24"/>
                <w:szCs w:val="24"/>
              </w:rPr>
              <w:t>Experience working in complex organisations, ideally within local government or the public sector.</w:t>
            </w:r>
          </w:p>
          <w:p w14:paraId="13C21256" w14:textId="77777777" w:rsidR="00491DD3" w:rsidRPr="00491DD3" w:rsidRDefault="00491DD3" w:rsidP="00491DD3">
            <w:pPr>
              <w:pStyle w:val="ListParagraph"/>
              <w:numPr>
                <w:ilvl w:val="0"/>
                <w:numId w:val="18"/>
              </w:numPr>
              <w:spacing w:after="0" w:line="240" w:lineRule="auto"/>
              <w:rPr>
                <w:rFonts w:ascii="Arial" w:hAnsi="Arial" w:cs="Arial"/>
                <w:sz w:val="24"/>
                <w:szCs w:val="24"/>
              </w:rPr>
            </w:pPr>
            <w:r w:rsidRPr="00491DD3">
              <w:rPr>
                <w:rFonts w:ascii="Arial" w:hAnsi="Arial" w:cs="Arial"/>
                <w:sz w:val="24"/>
                <w:szCs w:val="24"/>
              </w:rPr>
              <w:t>Proven experience of performance management, benchmarking and trend analysis.</w:t>
            </w:r>
          </w:p>
          <w:p w14:paraId="1746279D" w14:textId="77777777" w:rsidR="00491DD3" w:rsidRPr="00491DD3" w:rsidRDefault="00491DD3" w:rsidP="00491DD3">
            <w:pPr>
              <w:pStyle w:val="ListParagraph"/>
              <w:numPr>
                <w:ilvl w:val="0"/>
                <w:numId w:val="18"/>
              </w:numPr>
              <w:spacing w:after="0" w:line="240" w:lineRule="auto"/>
              <w:rPr>
                <w:rFonts w:ascii="Arial" w:hAnsi="Arial" w:cs="Arial"/>
                <w:sz w:val="24"/>
                <w:szCs w:val="24"/>
              </w:rPr>
            </w:pPr>
            <w:r w:rsidRPr="00491DD3">
              <w:rPr>
                <w:rFonts w:ascii="Arial" w:hAnsi="Arial" w:cs="Arial"/>
                <w:sz w:val="24"/>
                <w:szCs w:val="24"/>
              </w:rPr>
              <w:t>Demonstrable experience developing dashboards and analytical products using business intelligence tools (e.g. Power BI).</w:t>
            </w:r>
          </w:p>
          <w:p w14:paraId="355C1052" w14:textId="796A789D" w:rsidR="006E31CC" w:rsidRPr="00491DD3" w:rsidRDefault="00491DD3" w:rsidP="00491DD3">
            <w:pPr>
              <w:pStyle w:val="ListParagraph"/>
              <w:numPr>
                <w:ilvl w:val="0"/>
                <w:numId w:val="18"/>
              </w:numPr>
              <w:spacing w:after="0" w:line="240" w:lineRule="auto"/>
              <w:rPr>
                <w:rFonts w:ascii="Arial" w:hAnsi="Arial" w:cs="Arial"/>
                <w:sz w:val="24"/>
                <w:szCs w:val="24"/>
              </w:rPr>
            </w:pPr>
            <w:r w:rsidRPr="00491DD3">
              <w:rPr>
                <w:rFonts w:ascii="Arial" w:hAnsi="Arial" w:cs="Arial"/>
                <w:sz w:val="24"/>
                <w:szCs w:val="24"/>
              </w:rPr>
              <w:t>Experience presenting complex analysis to non</w:t>
            </w:r>
            <w:r w:rsidRPr="00491DD3">
              <w:rPr>
                <w:rFonts w:ascii="Cambria Math" w:hAnsi="Cambria Math" w:cs="Cambria Math"/>
                <w:sz w:val="24"/>
                <w:szCs w:val="24"/>
              </w:rPr>
              <w:t>‑</w:t>
            </w:r>
            <w:r w:rsidRPr="00491DD3">
              <w:rPr>
                <w:rFonts w:ascii="Arial" w:hAnsi="Arial" w:cs="Arial"/>
                <w:sz w:val="24"/>
                <w:szCs w:val="24"/>
              </w:rPr>
              <w:t>technical audiences.</w:t>
            </w:r>
          </w:p>
          <w:p w14:paraId="27EAF428" w14:textId="77777777" w:rsidR="006E31CC" w:rsidRPr="000C0DC8" w:rsidRDefault="006E31CC" w:rsidP="000C0DC8">
            <w:pPr>
              <w:spacing w:after="0" w:line="240" w:lineRule="auto"/>
              <w:rPr>
                <w:rFonts w:ascii="Arial" w:hAnsi="Arial" w:cs="Arial"/>
                <w:sz w:val="24"/>
                <w:szCs w:val="24"/>
              </w:rPr>
            </w:pPr>
          </w:p>
        </w:tc>
      </w:tr>
      <w:tr w:rsidR="0087424C" w:rsidRPr="00F511C1" w14:paraId="1CE2F72B"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11379886" w14:textId="77777777" w:rsidR="0087424C" w:rsidRPr="00F511C1" w:rsidRDefault="003C57AB" w:rsidP="00093214">
            <w:pPr>
              <w:spacing w:before="120" w:after="120"/>
              <w:rPr>
                <w:rFonts w:ascii="Arial" w:hAnsi="Arial" w:cs="Arial"/>
                <w:b/>
                <w:sz w:val="24"/>
                <w:szCs w:val="24"/>
              </w:rPr>
            </w:pPr>
            <w:r>
              <w:rPr>
                <w:rFonts w:ascii="Arial" w:hAnsi="Arial" w:cs="Arial"/>
                <w:b/>
                <w:sz w:val="24"/>
                <w:szCs w:val="24"/>
              </w:rPr>
              <w:t>Essential k</w:t>
            </w:r>
            <w:r w:rsidR="0087424C">
              <w:rPr>
                <w:rFonts w:ascii="Arial" w:hAnsi="Arial" w:cs="Arial"/>
                <w:b/>
                <w:sz w:val="24"/>
                <w:szCs w:val="24"/>
              </w:rPr>
              <w:t>nowledge</w:t>
            </w:r>
            <w:r w:rsidR="00C836C6">
              <w:rPr>
                <w:rFonts w:ascii="Arial" w:hAnsi="Arial" w:cs="Arial"/>
                <w:b/>
                <w:sz w:val="24"/>
                <w:szCs w:val="24"/>
              </w:rPr>
              <w:t>, s</w:t>
            </w:r>
            <w:r w:rsidR="0087424C">
              <w:rPr>
                <w:rFonts w:ascii="Arial" w:hAnsi="Arial" w:cs="Arial"/>
                <w:b/>
                <w:sz w:val="24"/>
                <w:szCs w:val="24"/>
              </w:rPr>
              <w:t>kills</w:t>
            </w:r>
            <w:r w:rsidR="00C836C6">
              <w:rPr>
                <w:rFonts w:ascii="Arial" w:hAnsi="Arial" w:cs="Arial"/>
                <w:b/>
                <w:sz w:val="24"/>
                <w:szCs w:val="24"/>
              </w:rPr>
              <w:t xml:space="preserve"> &amp; abilities</w:t>
            </w:r>
          </w:p>
        </w:tc>
      </w:tr>
      <w:tr w:rsidR="0087424C" w:rsidRPr="00F511C1" w14:paraId="7E929A81" w14:textId="77777777" w:rsidTr="00093214">
        <w:tc>
          <w:tcPr>
            <w:tcW w:w="10495" w:type="dxa"/>
            <w:tcBorders>
              <w:top w:val="nil"/>
              <w:left w:val="single" w:sz="4" w:space="0" w:color="auto"/>
              <w:bottom w:val="nil"/>
              <w:right w:val="single" w:sz="4" w:space="0" w:color="auto"/>
            </w:tcBorders>
          </w:tcPr>
          <w:p w14:paraId="4A30DFB9" w14:textId="77777777" w:rsidR="009A4FE8" w:rsidRPr="006E31CC" w:rsidRDefault="009A4FE8" w:rsidP="006E31CC">
            <w:pPr>
              <w:pStyle w:val="ListParagraph"/>
              <w:spacing w:after="0" w:line="240" w:lineRule="auto"/>
              <w:ind w:left="360"/>
              <w:rPr>
                <w:rFonts w:ascii="Arial" w:hAnsi="Arial" w:cs="Arial"/>
                <w:sz w:val="24"/>
                <w:szCs w:val="24"/>
              </w:rPr>
            </w:pPr>
          </w:p>
          <w:p w14:paraId="7AB85715" w14:textId="77777777" w:rsidR="0063441E" w:rsidRPr="0063441E" w:rsidRDefault="0063441E" w:rsidP="0063441E">
            <w:pPr>
              <w:pStyle w:val="ListParagraph"/>
              <w:numPr>
                <w:ilvl w:val="0"/>
                <w:numId w:val="39"/>
              </w:numPr>
              <w:spacing w:after="0" w:line="240" w:lineRule="auto"/>
              <w:rPr>
                <w:rFonts w:ascii="Arial" w:hAnsi="Arial" w:cs="Arial"/>
                <w:sz w:val="24"/>
                <w:szCs w:val="24"/>
              </w:rPr>
            </w:pPr>
            <w:r w:rsidRPr="0063441E">
              <w:rPr>
                <w:rFonts w:ascii="Arial" w:hAnsi="Arial" w:cs="Arial"/>
                <w:sz w:val="24"/>
                <w:szCs w:val="24"/>
              </w:rPr>
              <w:t>Advanced analytical and business intelligence capability, including data manipulation, modelling, visualisation and interpretation.</w:t>
            </w:r>
          </w:p>
          <w:p w14:paraId="0CF1C76E" w14:textId="77777777" w:rsidR="0063441E" w:rsidRPr="0063441E" w:rsidRDefault="0063441E" w:rsidP="0063441E">
            <w:pPr>
              <w:pStyle w:val="ListParagraph"/>
              <w:numPr>
                <w:ilvl w:val="0"/>
                <w:numId w:val="39"/>
              </w:numPr>
              <w:spacing w:after="0" w:line="240" w:lineRule="auto"/>
              <w:rPr>
                <w:rFonts w:ascii="Arial" w:hAnsi="Arial" w:cs="Arial"/>
                <w:sz w:val="24"/>
                <w:szCs w:val="24"/>
              </w:rPr>
            </w:pPr>
            <w:r w:rsidRPr="0063441E">
              <w:rPr>
                <w:rFonts w:ascii="Arial" w:hAnsi="Arial" w:cs="Arial"/>
                <w:sz w:val="24"/>
                <w:szCs w:val="24"/>
              </w:rPr>
              <w:t>Strong understanding of performance frameworks and outcome</w:t>
            </w:r>
            <w:r w:rsidRPr="0063441E">
              <w:rPr>
                <w:rFonts w:ascii="Cambria Math" w:hAnsi="Cambria Math" w:cs="Cambria Math"/>
                <w:sz w:val="24"/>
                <w:szCs w:val="24"/>
              </w:rPr>
              <w:t>‑</w:t>
            </w:r>
            <w:r w:rsidRPr="0063441E">
              <w:rPr>
                <w:rFonts w:ascii="Arial" w:hAnsi="Arial" w:cs="Arial"/>
                <w:sz w:val="24"/>
                <w:szCs w:val="24"/>
              </w:rPr>
              <w:t>based measurement.</w:t>
            </w:r>
          </w:p>
          <w:p w14:paraId="327C71BF" w14:textId="77777777" w:rsidR="0063441E" w:rsidRPr="0063441E" w:rsidRDefault="0063441E" w:rsidP="0063441E">
            <w:pPr>
              <w:pStyle w:val="ListParagraph"/>
              <w:numPr>
                <w:ilvl w:val="0"/>
                <w:numId w:val="39"/>
              </w:numPr>
              <w:spacing w:after="0" w:line="240" w:lineRule="auto"/>
              <w:rPr>
                <w:rFonts w:ascii="Arial" w:hAnsi="Arial" w:cs="Arial"/>
                <w:sz w:val="24"/>
                <w:szCs w:val="24"/>
              </w:rPr>
            </w:pPr>
            <w:r w:rsidRPr="0063441E">
              <w:rPr>
                <w:rFonts w:ascii="Arial" w:hAnsi="Arial" w:cs="Arial"/>
                <w:sz w:val="24"/>
                <w:szCs w:val="24"/>
              </w:rPr>
              <w:t>Ability to translate complex organisational priorities into clear, actionable analytical outputs.</w:t>
            </w:r>
          </w:p>
          <w:p w14:paraId="6B247B5C" w14:textId="77777777" w:rsidR="0063441E" w:rsidRPr="0063441E" w:rsidRDefault="0063441E" w:rsidP="0063441E">
            <w:pPr>
              <w:pStyle w:val="ListParagraph"/>
              <w:numPr>
                <w:ilvl w:val="0"/>
                <w:numId w:val="39"/>
              </w:numPr>
              <w:spacing w:after="0" w:line="240" w:lineRule="auto"/>
              <w:rPr>
                <w:rFonts w:ascii="Arial" w:hAnsi="Arial" w:cs="Arial"/>
                <w:sz w:val="24"/>
                <w:szCs w:val="24"/>
              </w:rPr>
            </w:pPr>
            <w:r w:rsidRPr="0063441E">
              <w:rPr>
                <w:rFonts w:ascii="Arial" w:hAnsi="Arial" w:cs="Arial"/>
                <w:sz w:val="24"/>
                <w:szCs w:val="24"/>
              </w:rPr>
              <w:t>Excellent communication and influencing skills, with strong political awareness.</w:t>
            </w:r>
          </w:p>
          <w:p w14:paraId="719D637E" w14:textId="77777777" w:rsidR="0063441E" w:rsidRPr="0063441E" w:rsidRDefault="0063441E" w:rsidP="0063441E">
            <w:pPr>
              <w:pStyle w:val="ListParagraph"/>
              <w:numPr>
                <w:ilvl w:val="0"/>
                <w:numId w:val="39"/>
              </w:numPr>
              <w:spacing w:after="0" w:line="240" w:lineRule="auto"/>
              <w:rPr>
                <w:rFonts w:ascii="Arial" w:hAnsi="Arial" w:cs="Arial"/>
                <w:sz w:val="24"/>
                <w:szCs w:val="24"/>
              </w:rPr>
            </w:pPr>
            <w:r w:rsidRPr="0063441E">
              <w:rPr>
                <w:rFonts w:ascii="Arial" w:hAnsi="Arial" w:cs="Arial"/>
                <w:sz w:val="24"/>
                <w:szCs w:val="24"/>
              </w:rPr>
              <w:t>Knowledge of data governance principles and the importance of data quality.</w:t>
            </w:r>
          </w:p>
          <w:p w14:paraId="3DFEC858" w14:textId="77777777" w:rsidR="0063441E" w:rsidRPr="0063441E" w:rsidRDefault="0063441E" w:rsidP="0063441E">
            <w:pPr>
              <w:pStyle w:val="ListParagraph"/>
              <w:numPr>
                <w:ilvl w:val="0"/>
                <w:numId w:val="39"/>
              </w:numPr>
              <w:spacing w:after="0" w:line="240" w:lineRule="auto"/>
              <w:rPr>
                <w:rFonts w:ascii="Arial" w:hAnsi="Arial" w:cs="Arial"/>
                <w:sz w:val="24"/>
                <w:szCs w:val="24"/>
              </w:rPr>
            </w:pPr>
            <w:r w:rsidRPr="0063441E">
              <w:rPr>
                <w:rFonts w:ascii="Arial" w:hAnsi="Arial" w:cs="Arial"/>
                <w:sz w:val="24"/>
                <w:szCs w:val="24"/>
              </w:rPr>
              <w:t>Proactive, solution</w:t>
            </w:r>
            <w:r w:rsidRPr="0063441E">
              <w:rPr>
                <w:rFonts w:ascii="Cambria Math" w:hAnsi="Cambria Math" w:cs="Cambria Math"/>
                <w:sz w:val="24"/>
                <w:szCs w:val="24"/>
              </w:rPr>
              <w:t>‑</w:t>
            </w:r>
            <w:r w:rsidRPr="0063441E">
              <w:rPr>
                <w:rFonts w:ascii="Arial" w:hAnsi="Arial" w:cs="Arial"/>
                <w:sz w:val="24"/>
                <w:szCs w:val="24"/>
              </w:rPr>
              <w:t>focused approach with the ability to identify new lines of enquiry.</w:t>
            </w:r>
          </w:p>
          <w:p w14:paraId="72589D46" w14:textId="77777777" w:rsidR="0063441E" w:rsidRPr="0063441E" w:rsidRDefault="0063441E" w:rsidP="0063441E">
            <w:pPr>
              <w:pStyle w:val="ListParagraph"/>
              <w:numPr>
                <w:ilvl w:val="0"/>
                <w:numId w:val="39"/>
              </w:numPr>
              <w:spacing w:after="0" w:line="240" w:lineRule="auto"/>
              <w:rPr>
                <w:rFonts w:ascii="Arial" w:hAnsi="Arial" w:cs="Arial"/>
                <w:sz w:val="24"/>
                <w:szCs w:val="24"/>
              </w:rPr>
            </w:pPr>
            <w:r w:rsidRPr="0063441E">
              <w:rPr>
                <w:rFonts w:ascii="Arial" w:hAnsi="Arial" w:cs="Arial"/>
                <w:sz w:val="24"/>
                <w:szCs w:val="24"/>
              </w:rPr>
              <w:t>Ability to manage competing priorities and deliver at pace in a dynamic environment.</w:t>
            </w:r>
          </w:p>
          <w:p w14:paraId="1B4BE5D8" w14:textId="4C96874E" w:rsidR="009A4FE8" w:rsidRPr="0063441E" w:rsidRDefault="0063441E" w:rsidP="0063441E">
            <w:pPr>
              <w:pStyle w:val="ListParagraph"/>
              <w:numPr>
                <w:ilvl w:val="0"/>
                <w:numId w:val="39"/>
              </w:numPr>
              <w:spacing w:after="0" w:line="240" w:lineRule="auto"/>
              <w:rPr>
                <w:rFonts w:ascii="Arial" w:hAnsi="Arial" w:cs="Arial"/>
                <w:sz w:val="24"/>
                <w:szCs w:val="24"/>
              </w:rPr>
            </w:pPr>
            <w:r w:rsidRPr="0063441E">
              <w:rPr>
                <w:rFonts w:ascii="Arial" w:hAnsi="Arial" w:cs="Arial"/>
                <w:sz w:val="24"/>
                <w:szCs w:val="24"/>
              </w:rPr>
              <w:t>Strong interpersonal skills and ability to build trusted partnerships.</w:t>
            </w:r>
          </w:p>
          <w:p w14:paraId="49BD4F28" w14:textId="77777777" w:rsidR="0087424C" w:rsidRPr="0004487A" w:rsidRDefault="0087424C" w:rsidP="009A4FE8">
            <w:pPr>
              <w:pStyle w:val="ListParagraph"/>
              <w:spacing w:before="120" w:after="120" w:line="240" w:lineRule="auto"/>
              <w:ind w:left="360"/>
              <w:rPr>
                <w:rFonts w:ascii="Arial" w:hAnsi="Arial" w:cs="Arial"/>
                <w:b/>
                <w:sz w:val="24"/>
                <w:szCs w:val="24"/>
              </w:rPr>
            </w:pPr>
          </w:p>
        </w:tc>
      </w:tr>
      <w:tr w:rsidR="0087424C" w:rsidRPr="00F511C1" w14:paraId="4239AB61" w14:textId="77777777" w:rsidTr="00103393">
        <w:tc>
          <w:tcPr>
            <w:tcW w:w="10495" w:type="dxa"/>
            <w:tcBorders>
              <w:top w:val="single" w:sz="4" w:space="0" w:color="auto"/>
              <w:bottom w:val="single" w:sz="4" w:space="0" w:color="auto"/>
            </w:tcBorders>
            <w:shd w:val="clear" w:color="auto" w:fill="A50021"/>
          </w:tcPr>
          <w:p w14:paraId="593E330F" w14:textId="77777777" w:rsidR="0087424C" w:rsidRPr="00F511C1" w:rsidRDefault="0087424C" w:rsidP="00093214">
            <w:pPr>
              <w:spacing w:before="120" w:after="120"/>
              <w:rPr>
                <w:rFonts w:ascii="Arial" w:hAnsi="Arial" w:cs="Arial"/>
                <w:b/>
                <w:sz w:val="24"/>
                <w:szCs w:val="24"/>
              </w:rPr>
            </w:pPr>
            <w:r w:rsidRPr="00F511C1">
              <w:rPr>
                <w:rFonts w:ascii="Arial" w:hAnsi="Arial" w:cs="Arial"/>
                <w:b/>
                <w:sz w:val="24"/>
                <w:szCs w:val="24"/>
              </w:rPr>
              <w:t xml:space="preserve">Other </w:t>
            </w:r>
            <w:r>
              <w:rPr>
                <w:rFonts w:ascii="Arial" w:hAnsi="Arial" w:cs="Arial"/>
                <w:b/>
                <w:sz w:val="24"/>
                <w:szCs w:val="24"/>
              </w:rPr>
              <w:t>essential requirements</w:t>
            </w:r>
          </w:p>
        </w:tc>
      </w:tr>
      <w:tr w:rsidR="0087424C" w:rsidRPr="00F511C1" w14:paraId="2A5540CC" w14:textId="77777777" w:rsidTr="00093214">
        <w:tc>
          <w:tcPr>
            <w:tcW w:w="10495" w:type="dxa"/>
            <w:tcBorders>
              <w:top w:val="single" w:sz="4" w:space="0" w:color="auto"/>
              <w:bottom w:val="nil"/>
            </w:tcBorders>
          </w:tcPr>
          <w:p w14:paraId="3970756A" w14:textId="77777777" w:rsidR="0087424C" w:rsidRPr="00B2478F" w:rsidRDefault="0087424C" w:rsidP="00093214">
            <w:pPr>
              <w:pStyle w:val="ListParagraph"/>
              <w:numPr>
                <w:ilvl w:val="0"/>
                <w:numId w:val="19"/>
              </w:numPr>
              <w:spacing w:before="120" w:after="120" w:line="240" w:lineRule="auto"/>
              <w:rPr>
                <w:rFonts w:ascii="Arial" w:hAnsi="Arial" w:cs="Arial"/>
                <w:sz w:val="24"/>
                <w:szCs w:val="24"/>
              </w:rPr>
            </w:pPr>
            <w:r w:rsidRPr="00B2478F">
              <w:rPr>
                <w:rFonts w:ascii="Arial" w:hAnsi="Arial" w:cs="Arial"/>
                <w:sz w:val="24"/>
                <w:szCs w:val="24"/>
              </w:rPr>
              <w:t>Commi</w:t>
            </w:r>
            <w:r w:rsidR="00256580">
              <w:rPr>
                <w:rFonts w:ascii="Arial" w:hAnsi="Arial" w:cs="Arial"/>
                <w:sz w:val="24"/>
                <w:szCs w:val="24"/>
              </w:rPr>
              <w:t>tment to equality and diversity</w:t>
            </w:r>
            <w:r w:rsidR="005F0153">
              <w:rPr>
                <w:rFonts w:ascii="Arial" w:hAnsi="Arial" w:cs="Arial"/>
                <w:sz w:val="24"/>
                <w:szCs w:val="24"/>
              </w:rPr>
              <w:t>.</w:t>
            </w:r>
          </w:p>
        </w:tc>
      </w:tr>
      <w:tr w:rsidR="0087424C" w:rsidRPr="00F511C1" w14:paraId="541A73B9" w14:textId="77777777" w:rsidTr="00093214">
        <w:tc>
          <w:tcPr>
            <w:tcW w:w="10495" w:type="dxa"/>
            <w:tcBorders>
              <w:top w:val="nil"/>
              <w:bottom w:val="nil"/>
            </w:tcBorders>
          </w:tcPr>
          <w:p w14:paraId="23A38B0F" w14:textId="77777777" w:rsidR="0087424C" w:rsidRPr="00B2478F" w:rsidRDefault="00256580" w:rsidP="00093214">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Commitment to health and safety</w:t>
            </w:r>
            <w:r w:rsidR="005F0153">
              <w:rPr>
                <w:rFonts w:ascii="Arial" w:hAnsi="Arial" w:cs="Arial"/>
                <w:sz w:val="24"/>
                <w:szCs w:val="24"/>
              </w:rPr>
              <w:t>.</w:t>
            </w:r>
          </w:p>
        </w:tc>
      </w:tr>
      <w:tr w:rsidR="0087424C" w:rsidRPr="00F511C1" w14:paraId="5C20E655" w14:textId="77777777" w:rsidTr="00093214">
        <w:tc>
          <w:tcPr>
            <w:tcW w:w="10495" w:type="dxa"/>
            <w:tcBorders>
              <w:top w:val="nil"/>
              <w:bottom w:val="nil"/>
            </w:tcBorders>
          </w:tcPr>
          <w:p w14:paraId="15D65FAB" w14:textId="77777777" w:rsidR="0087424C" w:rsidRPr="00B2478F" w:rsidRDefault="0087424C" w:rsidP="00093214">
            <w:pPr>
              <w:pStyle w:val="ListParagraph"/>
              <w:numPr>
                <w:ilvl w:val="0"/>
                <w:numId w:val="19"/>
              </w:numPr>
              <w:spacing w:before="120" w:after="120" w:line="240" w:lineRule="auto"/>
              <w:rPr>
                <w:rFonts w:ascii="Arial" w:hAnsi="Arial" w:cs="Arial"/>
                <w:sz w:val="24"/>
                <w:szCs w:val="24"/>
              </w:rPr>
            </w:pPr>
            <w:proofErr w:type="gramStart"/>
            <w:r w:rsidRPr="00B2478F">
              <w:rPr>
                <w:rFonts w:ascii="Arial" w:hAnsi="Arial" w:cs="Arial"/>
                <w:sz w:val="24"/>
                <w:szCs w:val="24"/>
              </w:rPr>
              <w:t>Display the LCC values and behaviours at all times</w:t>
            </w:r>
            <w:proofErr w:type="gramEnd"/>
            <w:r w:rsidRPr="00B2478F">
              <w:rPr>
                <w:rFonts w:ascii="Arial" w:hAnsi="Arial" w:cs="Arial"/>
                <w:sz w:val="24"/>
                <w:szCs w:val="24"/>
              </w:rPr>
              <w:t xml:space="preserve"> and </w:t>
            </w:r>
            <w:r w:rsidR="00256580">
              <w:rPr>
                <w:rFonts w:ascii="Arial" w:hAnsi="Arial" w:cs="Arial"/>
                <w:sz w:val="24"/>
                <w:szCs w:val="24"/>
              </w:rPr>
              <w:t>actively promote them in others</w:t>
            </w:r>
            <w:r w:rsidR="005F0153">
              <w:rPr>
                <w:rFonts w:ascii="Arial" w:hAnsi="Arial" w:cs="Arial"/>
                <w:sz w:val="24"/>
                <w:szCs w:val="24"/>
              </w:rPr>
              <w:t>.</w:t>
            </w:r>
          </w:p>
        </w:tc>
      </w:tr>
      <w:tr w:rsidR="0087424C" w:rsidRPr="00F511C1" w14:paraId="0B2DBF3F" w14:textId="77777777" w:rsidTr="00093214">
        <w:tc>
          <w:tcPr>
            <w:tcW w:w="10495" w:type="dxa"/>
            <w:tcBorders>
              <w:top w:val="nil"/>
            </w:tcBorders>
          </w:tcPr>
          <w:p w14:paraId="75312218" w14:textId="77777777" w:rsidR="0087424C" w:rsidRPr="005F0153" w:rsidRDefault="0087424C" w:rsidP="00093214">
            <w:pPr>
              <w:pStyle w:val="ListParagraph"/>
              <w:numPr>
                <w:ilvl w:val="0"/>
                <w:numId w:val="19"/>
              </w:numPr>
              <w:spacing w:before="120" w:after="120" w:line="240" w:lineRule="auto"/>
              <w:rPr>
                <w:rFonts w:ascii="Arial" w:hAnsi="Arial" w:cs="Arial"/>
                <w:sz w:val="24"/>
                <w:szCs w:val="24"/>
              </w:rPr>
            </w:pPr>
            <w:r w:rsidRPr="005F0153">
              <w:rPr>
                <w:rFonts w:ascii="Arial" w:hAnsi="Arial" w:cs="Arial"/>
                <w:sz w:val="24"/>
                <w:szCs w:val="24"/>
              </w:rPr>
              <w:t>Thi</w:t>
            </w:r>
            <w:r w:rsidR="00933597" w:rsidRPr="005F0153">
              <w:rPr>
                <w:rFonts w:ascii="Arial" w:hAnsi="Arial" w:cs="Arial"/>
                <w:sz w:val="24"/>
                <w:szCs w:val="24"/>
              </w:rPr>
              <w:t>s is an essential car user post</w:t>
            </w:r>
            <w:r w:rsidRPr="005F0153">
              <w:rPr>
                <w:rFonts w:ascii="Arial" w:hAnsi="Arial" w:cs="Arial"/>
                <w:sz w:val="24"/>
                <w:szCs w:val="24"/>
              </w:rPr>
              <w:t xml:space="preserve">  </w:t>
            </w:r>
          </w:p>
          <w:p w14:paraId="78F5DD0A" w14:textId="77777777" w:rsidR="0087424C" w:rsidRPr="004D79B1" w:rsidRDefault="003C57AB" w:rsidP="00093214">
            <w:pPr>
              <w:pStyle w:val="ListParagraph"/>
              <w:spacing w:before="120" w:after="120"/>
              <w:ind w:left="360"/>
              <w:rPr>
                <w:rFonts w:ascii="Arial" w:hAnsi="Arial" w:cs="Arial"/>
                <w:i/>
                <w:sz w:val="24"/>
                <w:szCs w:val="24"/>
              </w:rPr>
            </w:pPr>
            <w:r w:rsidRPr="005F0153">
              <w:rPr>
                <w:rFonts w:ascii="Arial" w:hAnsi="Arial" w:cs="Arial"/>
                <w:i/>
                <w:sz w:val="24"/>
                <w:szCs w:val="24"/>
                <w:lang w:val="en"/>
              </w:rPr>
              <w:lastRenderedPageBreak/>
              <w:t>You will be required to provide a car for use in connection with the duties of this post and must be insured for business use</w:t>
            </w:r>
            <w:r w:rsidRPr="005F0153">
              <w:rPr>
                <w:rFonts w:ascii="Arial" w:hAnsi="Arial" w:cs="Arial"/>
                <w:sz w:val="18"/>
                <w:szCs w:val="18"/>
                <w:lang w:val="en"/>
              </w:rPr>
              <w:t xml:space="preserve">. </w:t>
            </w:r>
            <w:r w:rsidR="0087424C" w:rsidRPr="005F0153">
              <w:rPr>
                <w:rFonts w:ascii="Arial" w:hAnsi="Arial" w:cs="Arial"/>
                <w:i/>
                <w:sz w:val="24"/>
                <w:szCs w:val="24"/>
              </w:rPr>
              <w:t xml:space="preserve">In certain circumstances consideration may be given to applicants who, </w:t>
            </w:r>
            <w:proofErr w:type="gramStart"/>
            <w:r w:rsidR="0087424C" w:rsidRPr="005F0153">
              <w:rPr>
                <w:rFonts w:ascii="Arial" w:hAnsi="Arial" w:cs="Arial"/>
                <w:i/>
                <w:sz w:val="24"/>
                <w:szCs w:val="24"/>
              </w:rPr>
              <w:t>as a consequence of</w:t>
            </w:r>
            <w:proofErr w:type="gramEnd"/>
            <w:r w:rsidR="0087424C" w:rsidRPr="005F0153">
              <w:rPr>
                <w:rFonts w:ascii="Arial" w:hAnsi="Arial" w:cs="Arial"/>
                <w:i/>
                <w:sz w:val="24"/>
                <w:szCs w:val="24"/>
              </w:rPr>
              <w:t xml:space="preserve"> a disability,</w:t>
            </w:r>
            <w:r w:rsidR="00933597" w:rsidRPr="005F0153">
              <w:rPr>
                <w:rFonts w:ascii="Arial" w:hAnsi="Arial" w:cs="Arial"/>
                <w:i/>
                <w:sz w:val="24"/>
                <w:szCs w:val="24"/>
              </w:rPr>
              <w:t xml:space="preserve"> are unable to drive</w:t>
            </w:r>
          </w:p>
        </w:tc>
      </w:tr>
    </w:tbl>
    <w:p w14:paraId="750E9C0A" w14:textId="77777777" w:rsidR="0087424C" w:rsidRPr="00F511C1" w:rsidRDefault="0087424C" w:rsidP="0087424C">
      <w:pPr>
        <w:rPr>
          <w:rFonts w:ascii="Arial" w:hAnsi="Arial" w:cs="Arial"/>
          <w:sz w:val="24"/>
          <w:szCs w:val="24"/>
        </w:rPr>
      </w:pPr>
    </w:p>
    <w:sectPr w:rsidR="0087424C" w:rsidRPr="00F511C1" w:rsidSect="00F13C00">
      <w:headerReference w:type="default" r:id="rId12"/>
      <w:footerReference w:type="default" r:id="rId13"/>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3F730" w14:textId="77777777" w:rsidR="0094380B" w:rsidRDefault="0094380B" w:rsidP="009373D4">
      <w:pPr>
        <w:spacing w:after="0" w:line="240" w:lineRule="auto"/>
      </w:pPr>
      <w:r>
        <w:separator/>
      </w:r>
    </w:p>
  </w:endnote>
  <w:endnote w:type="continuationSeparator" w:id="0">
    <w:p w14:paraId="5A77C2D1" w14:textId="77777777" w:rsidR="0094380B" w:rsidRDefault="0094380B"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44231" w14:textId="77777777" w:rsidR="00944F09" w:rsidRPr="00883689" w:rsidRDefault="000C0DC8" w:rsidP="00944F09">
    <w:pPr>
      <w:pStyle w:val="Footer"/>
      <w:rPr>
        <w:rFonts w:ascii="Arial" w:hAnsi="Arial" w:cs="Arial"/>
        <w:sz w:val="20"/>
        <w:szCs w:val="20"/>
      </w:rPr>
    </w:pPr>
    <w:r>
      <w:rPr>
        <w:rFonts w:ascii="Arial" w:hAnsi="Arial" w:cs="Arial"/>
        <w:sz w:val="20"/>
        <w:szCs w:val="20"/>
      </w:rPr>
      <w:t>April 2026</w:t>
    </w:r>
    <w:r w:rsidR="00944F09">
      <w:rPr>
        <w:rFonts w:ascii="Arial" w:hAnsi="Arial" w:cs="Arial"/>
        <w:sz w:val="20"/>
        <w:szCs w:val="20"/>
      </w:rPr>
      <w:tab/>
    </w:r>
  </w:p>
  <w:p w14:paraId="6D7C30A8" w14:textId="77777777" w:rsidR="000B5848" w:rsidRPr="0016227C" w:rsidRDefault="000B5848" w:rsidP="0016227C">
    <w:pPr>
      <w:pStyle w:val="Footer"/>
      <w:jc w:val="cen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6080E" w14:textId="77777777" w:rsidR="0094380B" w:rsidRDefault="0094380B" w:rsidP="009373D4">
      <w:pPr>
        <w:spacing w:after="0" w:line="240" w:lineRule="auto"/>
      </w:pPr>
      <w:r>
        <w:separator/>
      </w:r>
    </w:p>
  </w:footnote>
  <w:footnote w:type="continuationSeparator" w:id="0">
    <w:p w14:paraId="23B369B6" w14:textId="77777777" w:rsidR="0094380B" w:rsidRDefault="0094380B"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804"/>
      <w:gridCol w:w="1973"/>
    </w:tblGrid>
    <w:tr w:rsidR="00883689" w14:paraId="13CCB4E1" w14:textId="77777777" w:rsidTr="00883689">
      <w:tc>
        <w:tcPr>
          <w:tcW w:w="1985" w:type="dxa"/>
        </w:tcPr>
        <w:p w14:paraId="40CFDAEB" w14:textId="77777777" w:rsidR="00883689" w:rsidRDefault="00883689" w:rsidP="00883689">
          <w:pPr>
            <w:pStyle w:val="Header"/>
          </w:pPr>
        </w:p>
      </w:tc>
      <w:tc>
        <w:tcPr>
          <w:tcW w:w="6804" w:type="dxa"/>
        </w:tcPr>
        <w:p w14:paraId="010E5340" w14:textId="77777777" w:rsidR="00883689" w:rsidRPr="00904FB9" w:rsidRDefault="000C0DC8" w:rsidP="00883689">
          <w:pPr>
            <w:pStyle w:val="Header"/>
            <w:spacing w:before="120" w:after="120"/>
            <w:jc w:val="center"/>
            <w:rPr>
              <w:rFonts w:ascii="Arial" w:hAnsi="Arial" w:cs="Arial"/>
              <w:b/>
              <w:sz w:val="28"/>
              <w:szCs w:val="28"/>
            </w:rPr>
          </w:pPr>
          <w:r w:rsidRPr="000C0DC8">
            <w:rPr>
              <w:rFonts w:ascii="Arial" w:hAnsi="Arial" w:cs="Arial"/>
              <w:b/>
              <w:color w:val="A50021"/>
              <w:sz w:val="28"/>
              <w:szCs w:val="28"/>
            </w:rPr>
            <w:t>Strategic Data Partner</w:t>
          </w:r>
        </w:p>
      </w:tc>
      <w:tc>
        <w:tcPr>
          <w:tcW w:w="1973" w:type="dxa"/>
        </w:tcPr>
        <w:p w14:paraId="1D9C649E" w14:textId="77777777" w:rsidR="00883689" w:rsidRDefault="00883689" w:rsidP="00883689">
          <w:pPr>
            <w:pStyle w:val="Header"/>
            <w:jc w:val="right"/>
          </w:pPr>
          <w:r>
            <w:rPr>
              <w:noProof/>
            </w:rPr>
            <w:drawing>
              <wp:inline distT="0" distB="0" distL="0" distR="0" wp14:anchorId="64306D14" wp14:editId="30D5722F">
                <wp:extent cx="876300" cy="417612"/>
                <wp:effectExtent l="0" t="0" r="0" b="1905"/>
                <wp:docPr id="2" name="Picture 2"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tc>
    </w:tr>
  </w:tbl>
  <w:p w14:paraId="2F43D28D" w14:textId="77777777" w:rsidR="00CE75E9" w:rsidRPr="0016227C" w:rsidRDefault="00CE75E9" w:rsidP="000B5848">
    <w:pPr>
      <w:pStyle w:val="Header"/>
      <w:jc w:val="righ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25pt;height:316.5pt" o:bullet="t">
        <v:imagedata r:id="rId1" o:title="Arrow"/>
      </v:shape>
    </w:pict>
  </w:numPicBullet>
  <w:abstractNum w:abstractNumId="0" w15:restartNumberingAfterBreak="0">
    <w:nsid w:val="020067BA"/>
    <w:multiLevelType w:val="hybridMultilevel"/>
    <w:tmpl w:val="1FE2AB9A"/>
    <w:lvl w:ilvl="0" w:tplc="08090001">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038F8"/>
    <w:multiLevelType w:val="hybridMultilevel"/>
    <w:tmpl w:val="5D5AD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D242B8"/>
    <w:multiLevelType w:val="hybridMultilevel"/>
    <w:tmpl w:val="BF62A18A"/>
    <w:lvl w:ilvl="0" w:tplc="3DAEABEE">
      <w:start w:val="1"/>
      <w:numFmt w:val="bullet"/>
      <w:lvlText w:val=""/>
      <w:lvlJc w:val="left"/>
      <w:pPr>
        <w:ind w:left="456" w:hanging="360"/>
      </w:pPr>
      <w:rPr>
        <w:rFonts w:ascii="Symbol" w:hAnsi="Symbol" w:hint="default"/>
        <w:color w:val="E6008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D1AE8"/>
    <w:multiLevelType w:val="hybridMultilevel"/>
    <w:tmpl w:val="E3A8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16933"/>
    <w:multiLevelType w:val="hybridMultilevel"/>
    <w:tmpl w:val="0AEC77F0"/>
    <w:lvl w:ilvl="0" w:tplc="57942D4E">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E81EB8"/>
    <w:multiLevelType w:val="hybridMultilevel"/>
    <w:tmpl w:val="5E183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090143"/>
    <w:multiLevelType w:val="hybridMultilevel"/>
    <w:tmpl w:val="17128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4E7541"/>
    <w:multiLevelType w:val="hybridMultilevel"/>
    <w:tmpl w:val="93A4A3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72574C"/>
    <w:multiLevelType w:val="hybridMultilevel"/>
    <w:tmpl w:val="6EA08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EE6C82"/>
    <w:multiLevelType w:val="hybridMultilevel"/>
    <w:tmpl w:val="10305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106B2B"/>
    <w:multiLevelType w:val="multilevel"/>
    <w:tmpl w:val="553EA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CE7CCD"/>
    <w:multiLevelType w:val="hybridMultilevel"/>
    <w:tmpl w:val="2F44B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945D6F"/>
    <w:multiLevelType w:val="hybridMultilevel"/>
    <w:tmpl w:val="8A3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6640BE"/>
    <w:multiLevelType w:val="hybridMultilevel"/>
    <w:tmpl w:val="3B64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71137C"/>
    <w:multiLevelType w:val="hybridMultilevel"/>
    <w:tmpl w:val="258A9CE2"/>
    <w:lvl w:ilvl="0" w:tplc="B86A719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C61822"/>
    <w:multiLevelType w:val="multilevel"/>
    <w:tmpl w:val="1DF0C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CE7E91"/>
    <w:multiLevelType w:val="hybridMultilevel"/>
    <w:tmpl w:val="BE426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5DB0B36"/>
    <w:multiLevelType w:val="hybridMultilevel"/>
    <w:tmpl w:val="A02A1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6D0742"/>
    <w:multiLevelType w:val="hybridMultilevel"/>
    <w:tmpl w:val="21BC8C16"/>
    <w:lvl w:ilvl="0" w:tplc="3DAEABEE">
      <w:start w:val="1"/>
      <w:numFmt w:val="bullet"/>
      <w:lvlText w:val=""/>
      <w:lvlJc w:val="left"/>
      <w:pPr>
        <w:ind w:left="720" w:hanging="360"/>
      </w:pPr>
      <w:rPr>
        <w:rFonts w:ascii="Symbol" w:hAnsi="Symbol" w:hint="default"/>
        <w:color w:val="E6008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034758"/>
    <w:multiLevelType w:val="hybridMultilevel"/>
    <w:tmpl w:val="979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ED0009"/>
    <w:multiLevelType w:val="hybridMultilevel"/>
    <w:tmpl w:val="BC06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4B24BF4"/>
    <w:multiLevelType w:val="multilevel"/>
    <w:tmpl w:val="1C8C6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B055FF1"/>
    <w:multiLevelType w:val="hybridMultilevel"/>
    <w:tmpl w:val="E7B25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C444C6C"/>
    <w:multiLevelType w:val="hybridMultilevel"/>
    <w:tmpl w:val="029A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03913BC"/>
    <w:multiLevelType w:val="hybridMultilevel"/>
    <w:tmpl w:val="7F42AFC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26C702C"/>
    <w:multiLevelType w:val="multilevel"/>
    <w:tmpl w:val="11567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DD456F"/>
    <w:multiLevelType w:val="multilevel"/>
    <w:tmpl w:val="D196F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7F125F"/>
    <w:multiLevelType w:val="hybridMultilevel"/>
    <w:tmpl w:val="FD9E36EA"/>
    <w:lvl w:ilvl="0" w:tplc="3DAEABEE">
      <w:start w:val="1"/>
      <w:numFmt w:val="bullet"/>
      <w:lvlText w:val=""/>
      <w:lvlJc w:val="left"/>
      <w:pPr>
        <w:ind w:left="360" w:hanging="360"/>
      </w:pPr>
      <w:rPr>
        <w:rFonts w:ascii="Symbol" w:hAnsi="Symbol" w:hint="default"/>
        <w:color w:val="E6008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62F819B7"/>
    <w:multiLevelType w:val="hybridMultilevel"/>
    <w:tmpl w:val="CE7AC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564E5A"/>
    <w:multiLevelType w:val="hybridMultilevel"/>
    <w:tmpl w:val="46F6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391B15"/>
    <w:multiLevelType w:val="hybridMultilevel"/>
    <w:tmpl w:val="5A42E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9309B5"/>
    <w:multiLevelType w:val="hybridMultilevel"/>
    <w:tmpl w:val="51D00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451DCD"/>
    <w:multiLevelType w:val="hybridMultilevel"/>
    <w:tmpl w:val="FD066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F62435"/>
    <w:multiLevelType w:val="hybridMultilevel"/>
    <w:tmpl w:val="6D90C67E"/>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38" w15:restartNumberingAfterBreak="0">
    <w:nsid w:val="7BBD65FE"/>
    <w:multiLevelType w:val="hybridMultilevel"/>
    <w:tmpl w:val="2B28F9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3852488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1935142">
    <w:abstractNumId w:val="23"/>
  </w:num>
  <w:num w:numId="3" w16cid:durableId="439031600">
    <w:abstractNumId w:val="22"/>
  </w:num>
  <w:num w:numId="4" w16cid:durableId="1363550396">
    <w:abstractNumId w:val="25"/>
  </w:num>
  <w:num w:numId="5" w16cid:durableId="1447702445">
    <w:abstractNumId w:val="12"/>
  </w:num>
  <w:num w:numId="6" w16cid:durableId="1491292271">
    <w:abstractNumId w:val="27"/>
  </w:num>
  <w:num w:numId="7" w16cid:durableId="1089616268">
    <w:abstractNumId w:val="14"/>
  </w:num>
  <w:num w:numId="8" w16cid:durableId="585697795">
    <w:abstractNumId w:val="37"/>
  </w:num>
  <w:num w:numId="9" w16cid:durableId="1784493513">
    <w:abstractNumId w:val="9"/>
  </w:num>
  <w:num w:numId="10" w16cid:durableId="1631083330">
    <w:abstractNumId w:val="16"/>
  </w:num>
  <w:num w:numId="11" w16cid:durableId="1299872964">
    <w:abstractNumId w:val="0"/>
  </w:num>
  <w:num w:numId="12" w16cid:durableId="23404164">
    <w:abstractNumId w:val="19"/>
  </w:num>
  <w:num w:numId="13" w16cid:durableId="1019772408">
    <w:abstractNumId w:val="7"/>
  </w:num>
  <w:num w:numId="14" w16cid:durableId="55473651">
    <w:abstractNumId w:val="8"/>
  </w:num>
  <w:num w:numId="15" w16cid:durableId="283196743">
    <w:abstractNumId w:val="26"/>
  </w:num>
  <w:num w:numId="16" w16cid:durableId="2094737737">
    <w:abstractNumId w:val="33"/>
  </w:num>
  <w:num w:numId="17" w16cid:durableId="1721592948">
    <w:abstractNumId w:val="3"/>
  </w:num>
  <w:num w:numId="18" w16cid:durableId="994576094">
    <w:abstractNumId w:val="24"/>
  </w:num>
  <w:num w:numId="19" w16cid:durableId="363560435">
    <w:abstractNumId w:val="5"/>
  </w:num>
  <w:num w:numId="20" w16cid:durableId="705523551">
    <w:abstractNumId w:val="20"/>
  </w:num>
  <w:num w:numId="21" w16cid:durableId="138695120">
    <w:abstractNumId w:val="13"/>
  </w:num>
  <w:num w:numId="22" w16cid:durableId="576091220">
    <w:abstractNumId w:val="6"/>
  </w:num>
  <w:num w:numId="23" w16cid:durableId="2055427743">
    <w:abstractNumId w:val="4"/>
  </w:num>
  <w:num w:numId="24" w16cid:durableId="1650359097">
    <w:abstractNumId w:val="32"/>
  </w:num>
  <w:num w:numId="25" w16cid:durableId="2101634239">
    <w:abstractNumId w:val="18"/>
  </w:num>
  <w:num w:numId="26" w16cid:durableId="1079402475">
    <w:abstractNumId w:val="2"/>
  </w:num>
  <w:num w:numId="27" w16cid:durableId="1110510433">
    <w:abstractNumId w:val="34"/>
  </w:num>
  <w:num w:numId="28" w16cid:durableId="149449392">
    <w:abstractNumId w:val="17"/>
  </w:num>
  <w:num w:numId="29" w16cid:durableId="191921037">
    <w:abstractNumId w:val="11"/>
  </w:num>
  <w:num w:numId="30" w16cid:durableId="414323861">
    <w:abstractNumId w:val="35"/>
  </w:num>
  <w:num w:numId="31" w16cid:durableId="1670523958">
    <w:abstractNumId w:val="36"/>
  </w:num>
  <w:num w:numId="32" w16cid:durableId="451871796">
    <w:abstractNumId w:val="30"/>
  </w:num>
  <w:num w:numId="33" w16cid:durableId="1462067653">
    <w:abstractNumId w:val="1"/>
  </w:num>
  <w:num w:numId="34" w16cid:durableId="920135927">
    <w:abstractNumId w:val="21"/>
  </w:num>
  <w:num w:numId="35" w16cid:durableId="1203328941">
    <w:abstractNumId w:val="29"/>
  </w:num>
  <w:num w:numId="36" w16cid:durableId="131144038">
    <w:abstractNumId w:val="28"/>
  </w:num>
  <w:num w:numId="37" w16cid:durableId="756946842">
    <w:abstractNumId w:val="10"/>
  </w:num>
  <w:num w:numId="38" w16cid:durableId="666638158">
    <w:abstractNumId w:val="15"/>
  </w:num>
  <w:num w:numId="39" w16cid:durableId="210606776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B01"/>
    <w:rsid w:val="00013C94"/>
    <w:rsid w:val="0004487A"/>
    <w:rsid w:val="00065BA3"/>
    <w:rsid w:val="00077CAB"/>
    <w:rsid w:val="00081256"/>
    <w:rsid w:val="00084A65"/>
    <w:rsid w:val="00087C26"/>
    <w:rsid w:val="00092AA1"/>
    <w:rsid w:val="00093214"/>
    <w:rsid w:val="000973F7"/>
    <w:rsid w:val="000B5848"/>
    <w:rsid w:val="000C0DC8"/>
    <w:rsid w:val="000D74C9"/>
    <w:rsid w:val="000E376A"/>
    <w:rsid w:val="00103393"/>
    <w:rsid w:val="0012367F"/>
    <w:rsid w:val="00123EF1"/>
    <w:rsid w:val="001263A2"/>
    <w:rsid w:val="00134ADE"/>
    <w:rsid w:val="001373EB"/>
    <w:rsid w:val="0016227C"/>
    <w:rsid w:val="00167572"/>
    <w:rsid w:val="00173FCC"/>
    <w:rsid w:val="00184609"/>
    <w:rsid w:val="001A5E99"/>
    <w:rsid w:val="001A7954"/>
    <w:rsid w:val="001E1319"/>
    <w:rsid w:val="001F5F6B"/>
    <w:rsid w:val="002210B5"/>
    <w:rsid w:val="002318EF"/>
    <w:rsid w:val="00232B12"/>
    <w:rsid w:val="00256580"/>
    <w:rsid w:val="002A2398"/>
    <w:rsid w:val="002D03B5"/>
    <w:rsid w:val="002D61C2"/>
    <w:rsid w:val="002E7FA3"/>
    <w:rsid w:val="002F69F4"/>
    <w:rsid w:val="003010A5"/>
    <w:rsid w:val="00304DDE"/>
    <w:rsid w:val="00306E01"/>
    <w:rsid w:val="00314AE2"/>
    <w:rsid w:val="00316031"/>
    <w:rsid w:val="003958D8"/>
    <w:rsid w:val="00396422"/>
    <w:rsid w:val="003A124E"/>
    <w:rsid w:val="003A1903"/>
    <w:rsid w:val="003B3C18"/>
    <w:rsid w:val="003B5159"/>
    <w:rsid w:val="003C0B08"/>
    <w:rsid w:val="003C57AB"/>
    <w:rsid w:val="003D01A7"/>
    <w:rsid w:val="003D6C55"/>
    <w:rsid w:val="003E0AC5"/>
    <w:rsid w:val="003E16B3"/>
    <w:rsid w:val="003E6252"/>
    <w:rsid w:val="003E7A0E"/>
    <w:rsid w:val="0042788C"/>
    <w:rsid w:val="00431200"/>
    <w:rsid w:val="00436D06"/>
    <w:rsid w:val="00454521"/>
    <w:rsid w:val="00460A29"/>
    <w:rsid w:val="004719A7"/>
    <w:rsid w:val="00483CBF"/>
    <w:rsid w:val="0049033C"/>
    <w:rsid w:val="00491DD3"/>
    <w:rsid w:val="004A5AFB"/>
    <w:rsid w:val="004B7DF4"/>
    <w:rsid w:val="004E0A78"/>
    <w:rsid w:val="004E7E0E"/>
    <w:rsid w:val="004F0FA5"/>
    <w:rsid w:val="004F1515"/>
    <w:rsid w:val="0050043B"/>
    <w:rsid w:val="00501B78"/>
    <w:rsid w:val="00534BB6"/>
    <w:rsid w:val="00536E13"/>
    <w:rsid w:val="00591802"/>
    <w:rsid w:val="005971BA"/>
    <w:rsid w:val="005A0127"/>
    <w:rsid w:val="005A5904"/>
    <w:rsid w:val="005B45FC"/>
    <w:rsid w:val="005C5B48"/>
    <w:rsid w:val="005D3C56"/>
    <w:rsid w:val="005E4780"/>
    <w:rsid w:val="005F0153"/>
    <w:rsid w:val="005F4737"/>
    <w:rsid w:val="006026D2"/>
    <w:rsid w:val="00613EA4"/>
    <w:rsid w:val="00625C17"/>
    <w:rsid w:val="00627BBB"/>
    <w:rsid w:val="00627F64"/>
    <w:rsid w:val="0063441E"/>
    <w:rsid w:val="00645191"/>
    <w:rsid w:val="00686894"/>
    <w:rsid w:val="006A6F77"/>
    <w:rsid w:val="006B25CE"/>
    <w:rsid w:val="006B5443"/>
    <w:rsid w:val="006C7B01"/>
    <w:rsid w:val="006D331F"/>
    <w:rsid w:val="006D46EA"/>
    <w:rsid w:val="006E31CC"/>
    <w:rsid w:val="006F10A8"/>
    <w:rsid w:val="0070453D"/>
    <w:rsid w:val="007046BD"/>
    <w:rsid w:val="00707946"/>
    <w:rsid w:val="00707A73"/>
    <w:rsid w:val="0072181F"/>
    <w:rsid w:val="00725524"/>
    <w:rsid w:val="00725DAB"/>
    <w:rsid w:val="007420E7"/>
    <w:rsid w:val="00746CF0"/>
    <w:rsid w:val="00783CD4"/>
    <w:rsid w:val="00784003"/>
    <w:rsid w:val="0079262E"/>
    <w:rsid w:val="00793C75"/>
    <w:rsid w:val="007A1CCA"/>
    <w:rsid w:val="007A2612"/>
    <w:rsid w:val="007B562B"/>
    <w:rsid w:val="007C117F"/>
    <w:rsid w:val="007C5E21"/>
    <w:rsid w:val="007E00BB"/>
    <w:rsid w:val="00832780"/>
    <w:rsid w:val="00834218"/>
    <w:rsid w:val="00854A68"/>
    <w:rsid w:val="00855E4C"/>
    <w:rsid w:val="0087424C"/>
    <w:rsid w:val="00877FD0"/>
    <w:rsid w:val="00883689"/>
    <w:rsid w:val="0088457C"/>
    <w:rsid w:val="00897E4C"/>
    <w:rsid w:val="008A6083"/>
    <w:rsid w:val="008B38C2"/>
    <w:rsid w:val="008E50FB"/>
    <w:rsid w:val="008E6F52"/>
    <w:rsid w:val="008E779F"/>
    <w:rsid w:val="00913B3E"/>
    <w:rsid w:val="00933597"/>
    <w:rsid w:val="00936A7A"/>
    <w:rsid w:val="009373D4"/>
    <w:rsid w:val="00942209"/>
    <w:rsid w:val="0094380B"/>
    <w:rsid w:val="00944F09"/>
    <w:rsid w:val="0094645D"/>
    <w:rsid w:val="00946AFC"/>
    <w:rsid w:val="00953155"/>
    <w:rsid w:val="00955CC9"/>
    <w:rsid w:val="00961964"/>
    <w:rsid w:val="00963600"/>
    <w:rsid w:val="0096440C"/>
    <w:rsid w:val="00964A52"/>
    <w:rsid w:val="00994A8A"/>
    <w:rsid w:val="009A03CF"/>
    <w:rsid w:val="009A2E79"/>
    <w:rsid w:val="009A4FE8"/>
    <w:rsid w:val="009B6E64"/>
    <w:rsid w:val="009C49D8"/>
    <w:rsid w:val="009D26C7"/>
    <w:rsid w:val="009D27FD"/>
    <w:rsid w:val="00A032B0"/>
    <w:rsid w:val="00A14E73"/>
    <w:rsid w:val="00A30D84"/>
    <w:rsid w:val="00A447BE"/>
    <w:rsid w:val="00A45726"/>
    <w:rsid w:val="00A54C31"/>
    <w:rsid w:val="00A72A27"/>
    <w:rsid w:val="00A7451A"/>
    <w:rsid w:val="00A7579B"/>
    <w:rsid w:val="00A765D5"/>
    <w:rsid w:val="00A86C7F"/>
    <w:rsid w:val="00AA0B2A"/>
    <w:rsid w:val="00AB23DE"/>
    <w:rsid w:val="00AB377F"/>
    <w:rsid w:val="00AC6638"/>
    <w:rsid w:val="00AE46B7"/>
    <w:rsid w:val="00AE6D61"/>
    <w:rsid w:val="00B17ADE"/>
    <w:rsid w:val="00B370D2"/>
    <w:rsid w:val="00B45889"/>
    <w:rsid w:val="00B46DC2"/>
    <w:rsid w:val="00B53E11"/>
    <w:rsid w:val="00B54BF9"/>
    <w:rsid w:val="00B80BCF"/>
    <w:rsid w:val="00B85B83"/>
    <w:rsid w:val="00B860A2"/>
    <w:rsid w:val="00BA7FDC"/>
    <w:rsid w:val="00BC131C"/>
    <w:rsid w:val="00BC4952"/>
    <w:rsid w:val="00BC5C69"/>
    <w:rsid w:val="00BD1C6E"/>
    <w:rsid w:val="00BE2257"/>
    <w:rsid w:val="00BE7A35"/>
    <w:rsid w:val="00C111C2"/>
    <w:rsid w:val="00C26183"/>
    <w:rsid w:val="00C31061"/>
    <w:rsid w:val="00C312EC"/>
    <w:rsid w:val="00C31ED2"/>
    <w:rsid w:val="00C4477B"/>
    <w:rsid w:val="00C466DF"/>
    <w:rsid w:val="00C54F63"/>
    <w:rsid w:val="00C57047"/>
    <w:rsid w:val="00C62F7A"/>
    <w:rsid w:val="00C836C6"/>
    <w:rsid w:val="00C87F57"/>
    <w:rsid w:val="00C94A81"/>
    <w:rsid w:val="00C97F7F"/>
    <w:rsid w:val="00CB1F6F"/>
    <w:rsid w:val="00CB2D63"/>
    <w:rsid w:val="00CB4F7A"/>
    <w:rsid w:val="00CB5A66"/>
    <w:rsid w:val="00CC1A53"/>
    <w:rsid w:val="00CC31A1"/>
    <w:rsid w:val="00CC6993"/>
    <w:rsid w:val="00CE75E9"/>
    <w:rsid w:val="00D03D79"/>
    <w:rsid w:val="00D162D3"/>
    <w:rsid w:val="00D46FFD"/>
    <w:rsid w:val="00D5682A"/>
    <w:rsid w:val="00D64A7D"/>
    <w:rsid w:val="00D977B2"/>
    <w:rsid w:val="00DB2B00"/>
    <w:rsid w:val="00DC261E"/>
    <w:rsid w:val="00DC307E"/>
    <w:rsid w:val="00DC77BF"/>
    <w:rsid w:val="00DD2DA6"/>
    <w:rsid w:val="00E113C7"/>
    <w:rsid w:val="00E416FC"/>
    <w:rsid w:val="00E555CD"/>
    <w:rsid w:val="00E751B0"/>
    <w:rsid w:val="00E75397"/>
    <w:rsid w:val="00E97F2A"/>
    <w:rsid w:val="00EB74C9"/>
    <w:rsid w:val="00F00014"/>
    <w:rsid w:val="00F13963"/>
    <w:rsid w:val="00F13C00"/>
    <w:rsid w:val="00F5215A"/>
    <w:rsid w:val="00F7556F"/>
    <w:rsid w:val="00F808CB"/>
    <w:rsid w:val="00FA1EBA"/>
    <w:rsid w:val="00FA4E3F"/>
    <w:rsid w:val="00FB5C97"/>
    <w:rsid w:val="00FB6D25"/>
    <w:rsid w:val="00FB7534"/>
    <w:rsid w:val="00FB7BB1"/>
    <w:rsid w:val="00FD696E"/>
    <w:rsid w:val="00FE49D6"/>
    <w:rsid w:val="00FF3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921B334"/>
  <w15:docId w15:val="{047B1BA8-1954-4EE2-95DB-4920A0B4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B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ullen001\OneDrive%20-%20Lancashire%20County%20Council\Desktop\SDP%20JDP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2D205F08E38464EAD51F2CA1E618DBC" ma:contentTypeVersion="3" ma:contentTypeDescription="Create a new document." ma:contentTypeScope="" ma:versionID="07f87ac1bff6cf84f3322f7509814556">
  <xsd:schema xmlns:xsd="http://www.w3.org/2001/XMLSchema" xmlns:xs="http://www.w3.org/2001/XMLSchema" xmlns:p="http://schemas.microsoft.com/office/2006/metadata/properties" xmlns:ns2="0676a8d0-0a75-4a55-be57-e658c0e7a8db" targetNamespace="http://schemas.microsoft.com/office/2006/metadata/properties" ma:root="true" ma:fieldsID="95ace6db1387b03944ebf7536f1adb07" ns2:_="">
    <xsd:import namespace="0676a8d0-0a75-4a55-be57-e658c0e7a8d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6a8d0-0a75-4a55-be57-e658c0e7a8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5A52E1-EE45-4965-832A-223646FD0E05}">
  <ds:schemaRefs>
    <ds:schemaRef ds:uri="http://schemas.openxmlformats.org/officeDocument/2006/bibliography"/>
  </ds:schemaRefs>
</ds:datastoreItem>
</file>

<file path=customXml/itemProps2.xml><?xml version="1.0" encoding="utf-8"?>
<ds:datastoreItem xmlns:ds="http://schemas.openxmlformats.org/officeDocument/2006/customXml" ds:itemID="{581B9177-4BD2-4DE2-BF71-EC6E8C85F7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C4562A-5E02-4F4F-B9F5-81183B6BCBEF}">
  <ds:schemaRefs>
    <ds:schemaRef ds:uri="http://schemas.microsoft.com/sharepoint/v3/contenttype/forms"/>
  </ds:schemaRefs>
</ds:datastoreItem>
</file>

<file path=customXml/itemProps4.xml><?xml version="1.0" encoding="utf-8"?>
<ds:datastoreItem xmlns:ds="http://schemas.openxmlformats.org/officeDocument/2006/customXml" ds:itemID="{0BAD9C81-D404-4D4B-B06C-C6600203A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76a8d0-0a75-4a55-be57-e658c0e7a8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SDP JDPS.dotx</Template>
  <TotalTime>0</TotalTime>
  <Pages>6</Pages>
  <Words>1165</Words>
  <Characters>6641</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Bullen, Ian</dc:creator>
  <cp:keywords/>
  <cp:lastModifiedBy>Bullen, Ian</cp:lastModifiedBy>
  <cp:revision>2</cp:revision>
  <cp:lastPrinted>2017-11-07T10:18:00Z</cp:lastPrinted>
  <dcterms:created xsi:type="dcterms:W3CDTF">2026-05-13T08:14:00Z</dcterms:created>
  <dcterms:modified xsi:type="dcterms:W3CDTF">2026-05-13T08:14:00Z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0x010100E2D205F08E38464EAD51F2CA1E618DBC</vt:lpwstr>
  </property>
  <property fmtid="{D5CDD505-2E9C-101B-9397-08002B2CF9AE}" pid="3" name="docLang">
    <vt:lpwstr>en</vt:lpwstr>
  </property>
  <property fmtid="{D5CDD505-2E9C-101B-9397-08002B2CF9AE}" pid="4" name="MediaServiceImageTags">
    <vt:lpwstr/>
  </property>
</Properties>
</file>