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6A3F0913" w:rsidR="00883689" w:rsidRPr="003E0AC5" w:rsidRDefault="00020087" w:rsidP="009A4FE8">
            <w:pPr>
              <w:spacing w:after="0"/>
              <w:rPr>
                <w:rFonts w:ascii="Arial" w:hAnsi="Arial" w:cs="Arial"/>
                <w:sz w:val="24"/>
                <w:szCs w:val="24"/>
              </w:rPr>
            </w:pPr>
            <w:r>
              <w:rPr>
                <w:rFonts w:ascii="Arial" w:hAnsi="Arial" w:cs="Arial"/>
                <w:sz w:val="24"/>
                <w:szCs w:val="24"/>
              </w:rPr>
              <w:t>Highways</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7D9ABA77" w:rsidR="003E6252" w:rsidRPr="003E0AC5" w:rsidRDefault="00020087" w:rsidP="009A4FE8">
            <w:pPr>
              <w:spacing w:after="0"/>
              <w:rPr>
                <w:rFonts w:ascii="Arial" w:hAnsi="Arial" w:cs="Arial"/>
                <w:sz w:val="24"/>
                <w:szCs w:val="24"/>
              </w:rPr>
            </w:pPr>
            <w:r>
              <w:rPr>
                <w:rFonts w:ascii="Arial" w:hAnsi="Arial" w:cs="Arial"/>
                <w:sz w:val="24"/>
                <w:szCs w:val="24"/>
              </w:rPr>
              <w:t>School Cr</w:t>
            </w:r>
            <w:r w:rsidR="007A0D4F">
              <w:rPr>
                <w:rFonts w:ascii="Arial" w:hAnsi="Arial" w:cs="Arial"/>
                <w:sz w:val="24"/>
                <w:szCs w:val="24"/>
              </w:rPr>
              <w:t>ossing Patrols</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20477DFC" w:rsidR="00CC31A1" w:rsidRPr="00A447BE" w:rsidRDefault="005806EF" w:rsidP="005E7B78">
            <w:pPr>
              <w:spacing w:after="0"/>
              <w:rPr>
                <w:rFonts w:ascii="Arial" w:hAnsi="Arial" w:cs="Arial"/>
                <w:sz w:val="24"/>
                <w:szCs w:val="24"/>
              </w:rPr>
            </w:pPr>
            <w:r w:rsidRPr="005806EF">
              <w:rPr>
                <w:rFonts w:ascii="Arial" w:hAnsi="Arial" w:cs="Arial"/>
                <w:sz w:val="24"/>
                <w:szCs w:val="24"/>
              </w:rPr>
              <w:t>St Mary and St Benedict's RC Primary School</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2F00BEBA" w:rsidR="003C57AB" w:rsidRPr="00A447BE" w:rsidRDefault="007A0D4F" w:rsidP="002D61C2">
            <w:pPr>
              <w:spacing w:after="0"/>
              <w:rPr>
                <w:rFonts w:ascii="Arial" w:hAnsi="Arial" w:cs="Arial"/>
                <w:sz w:val="24"/>
                <w:szCs w:val="24"/>
              </w:rPr>
            </w:pPr>
            <w:r>
              <w:rPr>
                <w:rFonts w:ascii="Arial" w:hAnsi="Arial" w:cs="Arial"/>
                <w:sz w:val="24"/>
                <w:szCs w:val="24"/>
              </w:rPr>
              <w:t>£12.60 per hour</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2A863FE8" w:rsidR="001421EE" w:rsidRDefault="007A0D4F" w:rsidP="003E0AC5">
            <w:pPr>
              <w:spacing w:after="0"/>
              <w:rPr>
                <w:rFonts w:ascii="Arial" w:hAnsi="Arial" w:cs="Arial"/>
                <w:sz w:val="24"/>
                <w:szCs w:val="24"/>
              </w:rPr>
            </w:pPr>
            <w:r>
              <w:rPr>
                <w:rFonts w:ascii="Arial" w:hAnsi="Arial" w:cs="Arial"/>
                <w:sz w:val="24"/>
                <w:szCs w:val="24"/>
              </w:rPr>
              <w:t>FLW</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DCDE566" w:rsidR="003C57AB" w:rsidRPr="00A447BE" w:rsidRDefault="008860DC" w:rsidP="003C57AB">
            <w:pPr>
              <w:spacing w:after="0"/>
              <w:rPr>
                <w:rFonts w:ascii="Arial" w:hAnsi="Arial" w:cs="Arial"/>
                <w:sz w:val="24"/>
                <w:szCs w:val="24"/>
              </w:rPr>
            </w:pPr>
            <w:r>
              <w:rPr>
                <w:rFonts w:ascii="Arial" w:hAnsi="Arial" w:cs="Arial"/>
                <w:sz w:val="24"/>
                <w:szCs w:val="24"/>
              </w:rPr>
              <w:t xml:space="preserve">Area </w:t>
            </w:r>
            <w:r w:rsidR="00F80103">
              <w:rPr>
                <w:rFonts w:ascii="Arial" w:hAnsi="Arial" w:cs="Arial"/>
                <w:sz w:val="24"/>
                <w:szCs w:val="24"/>
              </w:rPr>
              <w:t>Organiser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13CEB670" w:rsidR="003C57AB" w:rsidRPr="00BE7A35" w:rsidRDefault="000C19F1"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657ADE0B" w14:textId="697A4924" w:rsidR="0053004B" w:rsidRPr="0053004B" w:rsidRDefault="0053004B" w:rsidP="0053004B">
            <w:pPr>
              <w:spacing w:after="0" w:line="240" w:lineRule="auto"/>
              <w:rPr>
                <w:rFonts w:ascii="Arial" w:hAnsi="Arial" w:cs="Arial"/>
                <w:sz w:val="24"/>
                <w:szCs w:val="24"/>
              </w:rPr>
            </w:pPr>
          </w:p>
          <w:p w14:paraId="6C609E4F" w14:textId="77777777" w:rsidR="00056665" w:rsidRPr="00056665" w:rsidRDefault="00056665" w:rsidP="00056665">
            <w:pPr>
              <w:spacing w:after="0" w:line="240" w:lineRule="auto"/>
              <w:rPr>
                <w:rFonts w:ascii="Arial" w:hAnsi="Arial" w:cs="Arial"/>
                <w:sz w:val="24"/>
                <w:szCs w:val="24"/>
              </w:rPr>
            </w:pPr>
            <w:r w:rsidRPr="00056665">
              <w:rPr>
                <w:rFonts w:ascii="Arial" w:hAnsi="Arial" w:cs="Arial"/>
                <w:sz w:val="24"/>
                <w:szCs w:val="24"/>
              </w:rPr>
              <w:t>To represent excellence in service provision through dedication to efficiency, quality, partnership and customer care.</w:t>
            </w:r>
          </w:p>
          <w:p w14:paraId="51A62EE4" w14:textId="77777777" w:rsidR="00056665" w:rsidRPr="00056665" w:rsidRDefault="00056665" w:rsidP="00056665">
            <w:pPr>
              <w:spacing w:after="0" w:line="240" w:lineRule="auto"/>
              <w:rPr>
                <w:rFonts w:ascii="Arial" w:hAnsi="Arial" w:cs="Arial"/>
                <w:sz w:val="24"/>
                <w:szCs w:val="24"/>
              </w:rPr>
            </w:pPr>
          </w:p>
          <w:p w14:paraId="6F61B3C5" w14:textId="3A8B59BE" w:rsidR="00056665" w:rsidRPr="00056665" w:rsidRDefault="00056665" w:rsidP="00056665">
            <w:pPr>
              <w:spacing w:after="0" w:line="240" w:lineRule="auto"/>
              <w:rPr>
                <w:rFonts w:ascii="Arial" w:hAnsi="Arial" w:cs="Arial"/>
                <w:sz w:val="24"/>
                <w:szCs w:val="24"/>
              </w:rPr>
            </w:pPr>
            <w:r w:rsidRPr="00056665">
              <w:rPr>
                <w:rFonts w:ascii="Arial" w:hAnsi="Arial" w:cs="Arial"/>
                <w:sz w:val="24"/>
                <w:szCs w:val="24"/>
              </w:rPr>
              <w:t>Ensure the safety of children and adults crossing the road at a designated point between specified times.</w:t>
            </w:r>
          </w:p>
          <w:p w14:paraId="123A8FB2" w14:textId="77777777" w:rsidR="00056665" w:rsidRPr="00056665" w:rsidRDefault="00056665" w:rsidP="00056665">
            <w:pPr>
              <w:spacing w:after="0" w:line="240" w:lineRule="auto"/>
              <w:rPr>
                <w:rFonts w:ascii="Arial" w:hAnsi="Arial" w:cs="Arial"/>
                <w:sz w:val="24"/>
                <w:szCs w:val="24"/>
              </w:rPr>
            </w:pPr>
          </w:p>
          <w:p w14:paraId="53386985" w14:textId="0D03AE12" w:rsidR="009A4FE8" w:rsidRPr="00C466DF" w:rsidRDefault="009A4FE8" w:rsidP="0053004B">
            <w:pPr>
              <w:spacing w:after="0" w:line="240" w:lineRule="auto"/>
              <w:rPr>
                <w:rFonts w:ascii="Arial" w:hAnsi="Arial" w:cs="Arial"/>
                <w:sz w:val="24"/>
                <w:szCs w:val="24"/>
              </w:rPr>
            </w:pPr>
          </w:p>
          <w:p w14:paraId="3DED65CD" w14:textId="43F53DCE" w:rsidR="007A1CCA" w:rsidRPr="00784003" w:rsidRDefault="007A1CCA" w:rsidP="00F972E8">
            <w:pPr>
              <w:spacing w:after="0" w:line="240" w:lineRule="auto"/>
              <w:rPr>
                <w:rFonts w:ascii="Arial" w:hAnsi="Arial"/>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43B1D2F1" w14:textId="34BAB4CA" w:rsidR="005F3CC7" w:rsidRPr="0015421B" w:rsidRDefault="005F3CC7" w:rsidP="005F3CC7">
            <w:pPr>
              <w:tabs>
                <w:tab w:val="left" w:pos="1664"/>
              </w:tabs>
              <w:spacing w:after="0" w:line="240" w:lineRule="auto"/>
              <w:rPr>
                <w:rFonts w:ascii="Arial" w:hAnsi="Arial" w:cs="Arial"/>
                <w:color w:val="000000" w:themeColor="text1"/>
                <w:sz w:val="24"/>
                <w:szCs w:val="24"/>
              </w:rPr>
            </w:pPr>
          </w:p>
          <w:p w14:paraId="3BD8A16F"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1.  To perform school crossing patrol duties as instructed at the point and at the times specified.</w:t>
            </w:r>
          </w:p>
          <w:p w14:paraId="00B60010"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2.  To operate hazard warning lights where installed.</w:t>
            </w:r>
          </w:p>
          <w:p w14:paraId="612D0608"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 xml:space="preserve">3.  To report inability to perform duties through sickness or other reason at least one hour before        </w:t>
            </w:r>
          </w:p>
          <w:p w14:paraId="174D3ECC"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 xml:space="preserve">     the starting time.</w:t>
            </w:r>
          </w:p>
          <w:p w14:paraId="096EC78B"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4.  To use all uniform and equipment provided for the safety of yourself, children and all other          members of the public, especially when stopping traffic on the highway.  To report any loss or defects.</w:t>
            </w:r>
          </w:p>
          <w:p w14:paraId="79E9D225"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5.  To maintain control over children awaiting instructions to cross.</w:t>
            </w:r>
          </w:p>
          <w:p w14:paraId="1A2FCD8E"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6.  To report any accidents involving yourself, road traffic accidents at or close to the duty point,</w:t>
            </w:r>
          </w:p>
          <w:p w14:paraId="36ED7AA8" w14:textId="77777777" w:rsidR="006B2C7C"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 xml:space="preserve">     or untoward incidents which could affect the safety of children in your care. </w:t>
            </w:r>
            <w:proofErr w:type="spellStart"/>
            <w:r w:rsidRPr="006B2C7C">
              <w:rPr>
                <w:rFonts w:ascii="Arial" w:hAnsi="Arial" w:cs="Arial"/>
                <w:color w:val="000000" w:themeColor="text1"/>
                <w:sz w:val="24"/>
                <w:szCs w:val="24"/>
              </w:rPr>
              <w:t>Eg.</w:t>
            </w:r>
            <w:proofErr w:type="spellEnd"/>
            <w:r w:rsidRPr="006B2C7C">
              <w:rPr>
                <w:rFonts w:ascii="Arial" w:hAnsi="Arial" w:cs="Arial"/>
                <w:color w:val="000000" w:themeColor="text1"/>
                <w:sz w:val="24"/>
                <w:szCs w:val="24"/>
              </w:rPr>
              <w:t xml:space="preserve"> Failure to</w:t>
            </w:r>
          </w:p>
          <w:p w14:paraId="4C15E544" w14:textId="4F87501A" w:rsidR="00F3433F" w:rsidRPr="006B2C7C" w:rsidRDefault="006B2C7C" w:rsidP="006B2C7C">
            <w:pPr>
              <w:tabs>
                <w:tab w:val="left" w:pos="1664"/>
              </w:tabs>
              <w:spacing w:after="0" w:line="240" w:lineRule="auto"/>
              <w:rPr>
                <w:rFonts w:ascii="Arial" w:hAnsi="Arial" w:cs="Arial"/>
                <w:color w:val="000000" w:themeColor="text1"/>
                <w:sz w:val="24"/>
                <w:szCs w:val="24"/>
              </w:rPr>
            </w:pPr>
            <w:r w:rsidRPr="006B2C7C">
              <w:rPr>
                <w:rFonts w:ascii="Arial" w:hAnsi="Arial" w:cs="Arial"/>
                <w:color w:val="000000" w:themeColor="text1"/>
                <w:sz w:val="24"/>
                <w:szCs w:val="24"/>
              </w:rPr>
              <w:t xml:space="preserve">     stop by a highway user.</w:t>
            </w:r>
          </w:p>
          <w:p w14:paraId="442A9668" w14:textId="77777777" w:rsidR="009A4FE8" w:rsidRPr="005F3CC7" w:rsidRDefault="009A4FE8" w:rsidP="00C466DF">
            <w:pPr>
              <w:pStyle w:val="ListParagraph"/>
              <w:spacing w:after="0" w:line="240" w:lineRule="auto"/>
              <w:ind w:left="360"/>
              <w:rPr>
                <w:rFonts w:ascii="Arial" w:hAnsi="Arial" w:cs="Arial"/>
                <w:color w:val="000000" w:themeColor="text1"/>
                <w:sz w:val="24"/>
                <w:szCs w:val="24"/>
              </w:rPr>
            </w:pPr>
          </w:p>
          <w:p w14:paraId="65BA4875" w14:textId="623132BA" w:rsidR="005F4737" w:rsidRPr="005F3CC7" w:rsidRDefault="005F4737" w:rsidP="00881BC8">
            <w:pPr>
              <w:pStyle w:val="Default"/>
              <w:rPr>
                <w:color w:val="000000" w:themeColor="text1"/>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lastRenderedPageBreak/>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3162FDE0" w:rsidR="00D80E8E" w:rsidRPr="00D80E8E" w:rsidRDefault="00C22EB9" w:rsidP="00D80E8E">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Literacy and numeracy</w:t>
            </w:r>
            <w:r w:rsidR="00FF4C23">
              <w:rPr>
                <w:rFonts w:ascii="Arial" w:hAnsi="Arial" w:cs="Arial"/>
                <w:sz w:val="24"/>
                <w:szCs w:val="24"/>
              </w:rPr>
              <w:t>*</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767BD249" w14:textId="77777777" w:rsidR="00A82BFA" w:rsidRDefault="00A82BFA" w:rsidP="00A82BFA">
            <w:pPr>
              <w:pStyle w:val="ListParagraph"/>
              <w:spacing w:after="0" w:line="240" w:lineRule="auto"/>
              <w:ind w:left="360"/>
              <w:rPr>
                <w:rFonts w:ascii="Arial" w:hAnsi="Arial" w:cs="Arial"/>
                <w:sz w:val="24"/>
                <w:szCs w:val="24"/>
              </w:rPr>
            </w:pPr>
          </w:p>
          <w:p w14:paraId="0C900B27" w14:textId="23650BA1" w:rsidR="006E31CC" w:rsidRPr="00A82BFA" w:rsidRDefault="00FF4C23" w:rsidP="00A82BFA">
            <w:pPr>
              <w:pStyle w:val="ListParagraph"/>
              <w:numPr>
                <w:ilvl w:val="0"/>
                <w:numId w:val="18"/>
              </w:numPr>
              <w:spacing w:after="0" w:line="240" w:lineRule="auto"/>
              <w:rPr>
                <w:rFonts w:ascii="Arial" w:hAnsi="Arial" w:cs="Arial"/>
                <w:sz w:val="24"/>
                <w:szCs w:val="24"/>
              </w:rPr>
            </w:pPr>
            <w:r w:rsidRPr="00A82BFA">
              <w:rPr>
                <w:rFonts w:ascii="Arial" w:hAnsi="Arial" w:cs="Arial"/>
                <w:sz w:val="24"/>
                <w:szCs w:val="24"/>
              </w:rPr>
              <w:t>Working with children*</w:t>
            </w:r>
          </w:p>
          <w:p w14:paraId="486D47B7" w14:textId="77777777" w:rsidR="00FF4C23" w:rsidRDefault="00FF4C23" w:rsidP="00A82BFA">
            <w:pPr>
              <w:pStyle w:val="ListParagraph"/>
              <w:numPr>
                <w:ilvl w:val="0"/>
                <w:numId w:val="18"/>
              </w:numPr>
              <w:spacing w:after="0" w:line="240" w:lineRule="auto"/>
              <w:rPr>
                <w:rFonts w:ascii="Arial" w:hAnsi="Arial" w:cs="Arial"/>
                <w:sz w:val="24"/>
                <w:szCs w:val="24"/>
              </w:rPr>
            </w:pPr>
            <w:r w:rsidRPr="00A82BFA">
              <w:rPr>
                <w:rFonts w:ascii="Arial" w:hAnsi="Arial" w:cs="Arial"/>
                <w:sz w:val="24"/>
                <w:szCs w:val="24"/>
              </w:rPr>
              <w:t>Driving experience*</w:t>
            </w:r>
          </w:p>
          <w:p w14:paraId="1A773A38" w14:textId="2B2453D3" w:rsidR="00A82BFA" w:rsidRPr="00A82BFA" w:rsidRDefault="00A82BFA" w:rsidP="00A82BFA">
            <w:pPr>
              <w:pStyle w:val="ListParagraph"/>
              <w:spacing w:after="0" w:line="240" w:lineRule="auto"/>
              <w:ind w:left="360"/>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38601DCB" w14:textId="77777777" w:rsidR="00A82BFA" w:rsidRDefault="00A82BFA" w:rsidP="00A82BFA">
            <w:pPr>
              <w:spacing w:after="0" w:line="240" w:lineRule="auto"/>
              <w:rPr>
                <w:rFonts w:ascii="Arial" w:hAnsi="Arial" w:cs="Arial"/>
                <w:b/>
                <w:sz w:val="24"/>
                <w:szCs w:val="24"/>
              </w:rPr>
            </w:pPr>
          </w:p>
          <w:p w14:paraId="645E2E05" w14:textId="77777777" w:rsidR="00A82BFA" w:rsidRPr="00A82BFA" w:rsidRDefault="00A82BFA" w:rsidP="00A82BFA">
            <w:pPr>
              <w:pStyle w:val="ListParagraph"/>
              <w:numPr>
                <w:ilvl w:val="0"/>
                <w:numId w:val="41"/>
              </w:numPr>
              <w:spacing w:after="0" w:line="240" w:lineRule="auto"/>
              <w:rPr>
                <w:rFonts w:ascii="Arial" w:hAnsi="Arial" w:cs="Arial"/>
                <w:bCs/>
                <w:sz w:val="24"/>
                <w:szCs w:val="24"/>
              </w:rPr>
            </w:pPr>
            <w:r w:rsidRPr="00A82BFA">
              <w:rPr>
                <w:rFonts w:ascii="Arial" w:hAnsi="Arial" w:cs="Arial"/>
                <w:bCs/>
                <w:sz w:val="24"/>
                <w:szCs w:val="24"/>
              </w:rPr>
              <w:t xml:space="preserve">Good </w:t>
            </w:r>
            <w:proofErr w:type="gramStart"/>
            <w:r w:rsidRPr="00A82BFA">
              <w:rPr>
                <w:rFonts w:ascii="Arial" w:hAnsi="Arial" w:cs="Arial"/>
                <w:bCs/>
                <w:sz w:val="24"/>
                <w:szCs w:val="24"/>
              </w:rPr>
              <w:t>eye sight</w:t>
            </w:r>
            <w:proofErr w:type="gramEnd"/>
            <w:r w:rsidRPr="00A82BFA">
              <w:rPr>
                <w:rFonts w:ascii="Arial" w:hAnsi="Arial" w:cs="Arial"/>
                <w:bCs/>
                <w:sz w:val="24"/>
                <w:szCs w:val="24"/>
              </w:rPr>
              <w:t xml:space="preserve"> and hearing</w:t>
            </w:r>
          </w:p>
          <w:p w14:paraId="55801B85" w14:textId="7831C8A4" w:rsidR="00A82BFA" w:rsidRPr="00A82BFA" w:rsidRDefault="00A82BFA" w:rsidP="00A82BFA">
            <w:pPr>
              <w:spacing w:after="0" w:line="240" w:lineRule="auto"/>
              <w:rPr>
                <w:rFonts w:ascii="Arial" w:hAnsi="Arial" w:cs="Arial"/>
                <w:b/>
                <w:sz w:val="24"/>
                <w:szCs w:val="24"/>
              </w:rPr>
            </w:pP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4432FB06" w:rsidR="00AA588B" w:rsidRPr="00AA588B" w:rsidRDefault="0087424C" w:rsidP="00AA588B">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230A" w14:textId="77777777" w:rsidR="00B4609D" w:rsidRDefault="00B4609D" w:rsidP="009373D4">
      <w:pPr>
        <w:spacing w:after="0" w:line="240" w:lineRule="auto"/>
      </w:pPr>
      <w:r>
        <w:separator/>
      </w:r>
    </w:p>
  </w:endnote>
  <w:endnote w:type="continuationSeparator" w:id="0">
    <w:p w14:paraId="66972E9B" w14:textId="77777777" w:rsidR="00B4609D" w:rsidRDefault="00B4609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21D6" w14:textId="77777777" w:rsidR="00B4609D" w:rsidRDefault="00B4609D" w:rsidP="009373D4">
      <w:pPr>
        <w:spacing w:after="0" w:line="240" w:lineRule="auto"/>
      </w:pPr>
      <w:r>
        <w:separator/>
      </w:r>
    </w:p>
  </w:footnote>
  <w:footnote w:type="continuationSeparator" w:id="0">
    <w:p w14:paraId="174AF259" w14:textId="77777777" w:rsidR="00B4609D" w:rsidRDefault="00B4609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7BEBC6BB" w:rsidR="00883689" w:rsidRPr="00904FB9" w:rsidRDefault="00D34C6B" w:rsidP="00883689">
          <w:pPr>
            <w:pStyle w:val="Header"/>
            <w:spacing w:before="120" w:after="120"/>
            <w:jc w:val="center"/>
            <w:rPr>
              <w:rFonts w:ascii="Arial" w:hAnsi="Arial" w:cs="Arial"/>
              <w:b/>
              <w:sz w:val="28"/>
              <w:szCs w:val="28"/>
            </w:rPr>
          </w:pPr>
          <w:r>
            <w:rPr>
              <w:rFonts w:ascii="Arial" w:hAnsi="Arial" w:cs="Arial"/>
              <w:b/>
              <w:color w:val="A50021"/>
              <w:sz w:val="28"/>
              <w:szCs w:val="28"/>
            </w:rPr>
            <w:t>School Crossing Patrol</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9pt;height:316.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15ECB"/>
    <w:multiLevelType w:val="hybridMultilevel"/>
    <w:tmpl w:val="944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D336B"/>
    <w:multiLevelType w:val="hybridMultilevel"/>
    <w:tmpl w:val="B736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53CB1"/>
    <w:multiLevelType w:val="hybridMultilevel"/>
    <w:tmpl w:val="6F822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55FF1"/>
    <w:multiLevelType w:val="hybridMultilevel"/>
    <w:tmpl w:val="F1CE2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32214F7"/>
    <w:multiLevelType w:val="hybridMultilevel"/>
    <w:tmpl w:val="EBA4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D16B6"/>
    <w:multiLevelType w:val="hybridMultilevel"/>
    <w:tmpl w:val="DAE05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7D41C9"/>
    <w:multiLevelType w:val="hybridMultilevel"/>
    <w:tmpl w:val="EB38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74268"/>
    <w:multiLevelType w:val="hybridMultilevel"/>
    <w:tmpl w:val="B164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3"/>
  </w:num>
  <w:num w:numId="3" w16cid:durableId="439031600">
    <w:abstractNumId w:val="22"/>
  </w:num>
  <w:num w:numId="4" w16cid:durableId="1363550396">
    <w:abstractNumId w:val="25"/>
  </w:num>
  <w:num w:numId="5" w16cid:durableId="1447702445">
    <w:abstractNumId w:val="13"/>
  </w:num>
  <w:num w:numId="6" w16cid:durableId="1491292271">
    <w:abstractNumId w:val="27"/>
  </w:num>
  <w:num w:numId="7" w16cid:durableId="1089616268">
    <w:abstractNumId w:val="15"/>
  </w:num>
  <w:num w:numId="8" w16cid:durableId="585697795">
    <w:abstractNumId w:val="40"/>
  </w:num>
  <w:num w:numId="9" w16cid:durableId="1784493513">
    <w:abstractNumId w:val="10"/>
  </w:num>
  <w:num w:numId="10" w16cid:durableId="1631083330">
    <w:abstractNumId w:val="17"/>
  </w:num>
  <w:num w:numId="11" w16cid:durableId="1299872964">
    <w:abstractNumId w:val="0"/>
  </w:num>
  <w:num w:numId="12" w16cid:durableId="23404164">
    <w:abstractNumId w:val="20"/>
  </w:num>
  <w:num w:numId="13" w16cid:durableId="1019772408">
    <w:abstractNumId w:val="7"/>
  </w:num>
  <w:num w:numId="14" w16cid:durableId="55473651">
    <w:abstractNumId w:val="8"/>
  </w:num>
  <w:num w:numId="15" w16cid:durableId="283196743">
    <w:abstractNumId w:val="26"/>
  </w:num>
  <w:num w:numId="16" w16cid:durableId="2094737737">
    <w:abstractNumId w:val="36"/>
  </w:num>
  <w:num w:numId="17" w16cid:durableId="1721592948">
    <w:abstractNumId w:val="3"/>
  </w:num>
  <w:num w:numId="18" w16cid:durableId="994576094">
    <w:abstractNumId w:val="24"/>
  </w:num>
  <w:num w:numId="19" w16cid:durableId="363560435">
    <w:abstractNumId w:val="5"/>
  </w:num>
  <w:num w:numId="20" w16cid:durableId="705523551">
    <w:abstractNumId w:val="21"/>
  </w:num>
  <w:num w:numId="21" w16cid:durableId="138695120">
    <w:abstractNumId w:val="14"/>
  </w:num>
  <w:num w:numId="22" w16cid:durableId="576091220">
    <w:abstractNumId w:val="6"/>
  </w:num>
  <w:num w:numId="23" w16cid:durableId="2055427743">
    <w:abstractNumId w:val="4"/>
  </w:num>
  <w:num w:numId="24" w16cid:durableId="1650359097">
    <w:abstractNumId w:val="35"/>
  </w:num>
  <w:num w:numId="25" w16cid:durableId="2101634239">
    <w:abstractNumId w:val="19"/>
  </w:num>
  <w:num w:numId="26" w16cid:durableId="1079402475">
    <w:abstractNumId w:val="2"/>
  </w:num>
  <w:num w:numId="27" w16cid:durableId="1110510433">
    <w:abstractNumId w:val="37"/>
  </w:num>
  <w:num w:numId="28" w16cid:durableId="149449392">
    <w:abstractNumId w:val="18"/>
  </w:num>
  <w:num w:numId="29" w16cid:durableId="191921037">
    <w:abstractNumId w:val="12"/>
  </w:num>
  <w:num w:numId="30" w16cid:durableId="414323861">
    <w:abstractNumId w:val="38"/>
  </w:num>
  <w:num w:numId="31" w16cid:durableId="1670523958">
    <w:abstractNumId w:val="39"/>
  </w:num>
  <w:num w:numId="32" w16cid:durableId="451871796">
    <w:abstractNumId w:val="28"/>
  </w:num>
  <w:num w:numId="33" w16cid:durableId="1462067653">
    <w:abstractNumId w:val="1"/>
  </w:num>
  <w:num w:numId="34" w16cid:durableId="265230552">
    <w:abstractNumId w:val="29"/>
  </w:num>
  <w:num w:numId="35" w16cid:durableId="1699238349">
    <w:abstractNumId w:val="32"/>
  </w:num>
  <w:num w:numId="36" w16cid:durableId="12417283">
    <w:abstractNumId w:val="16"/>
  </w:num>
  <w:num w:numId="37" w16cid:durableId="1955601126">
    <w:abstractNumId w:val="11"/>
  </w:num>
  <w:num w:numId="38" w16cid:durableId="594287052">
    <w:abstractNumId w:val="33"/>
  </w:num>
  <w:num w:numId="39" w16cid:durableId="1035543993">
    <w:abstractNumId w:val="34"/>
  </w:num>
  <w:num w:numId="40" w16cid:durableId="1858690848">
    <w:abstractNumId w:val="9"/>
  </w:num>
  <w:num w:numId="41" w16cid:durableId="6637793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20087"/>
    <w:rsid w:val="0004487A"/>
    <w:rsid w:val="00056665"/>
    <w:rsid w:val="00065BA3"/>
    <w:rsid w:val="00077CAB"/>
    <w:rsid w:val="00081256"/>
    <w:rsid w:val="00084A65"/>
    <w:rsid w:val="00087C26"/>
    <w:rsid w:val="00092AA1"/>
    <w:rsid w:val="00093214"/>
    <w:rsid w:val="000973F7"/>
    <w:rsid w:val="000B5848"/>
    <w:rsid w:val="000C19F1"/>
    <w:rsid w:val="000D74C9"/>
    <w:rsid w:val="000E376A"/>
    <w:rsid w:val="000F12E0"/>
    <w:rsid w:val="00103393"/>
    <w:rsid w:val="00105087"/>
    <w:rsid w:val="0012367F"/>
    <w:rsid w:val="001263A2"/>
    <w:rsid w:val="00134ADE"/>
    <w:rsid w:val="001421EE"/>
    <w:rsid w:val="0015421B"/>
    <w:rsid w:val="0016227C"/>
    <w:rsid w:val="00167572"/>
    <w:rsid w:val="00173FCC"/>
    <w:rsid w:val="00184609"/>
    <w:rsid w:val="00193518"/>
    <w:rsid w:val="001944D9"/>
    <w:rsid w:val="001A5E99"/>
    <w:rsid w:val="001A7954"/>
    <w:rsid w:val="001E1319"/>
    <w:rsid w:val="001F5F6B"/>
    <w:rsid w:val="00202C9D"/>
    <w:rsid w:val="002210B5"/>
    <w:rsid w:val="002318EF"/>
    <w:rsid w:val="00232B12"/>
    <w:rsid w:val="00256580"/>
    <w:rsid w:val="002A2398"/>
    <w:rsid w:val="002C1808"/>
    <w:rsid w:val="002D03B5"/>
    <w:rsid w:val="002D61C2"/>
    <w:rsid w:val="002E7FA3"/>
    <w:rsid w:val="002F69F4"/>
    <w:rsid w:val="003010A5"/>
    <w:rsid w:val="00304DDE"/>
    <w:rsid w:val="00306E01"/>
    <w:rsid w:val="00314AE2"/>
    <w:rsid w:val="00316031"/>
    <w:rsid w:val="0038078F"/>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54521"/>
    <w:rsid w:val="00460A29"/>
    <w:rsid w:val="004719A7"/>
    <w:rsid w:val="00483CBF"/>
    <w:rsid w:val="0049033C"/>
    <w:rsid w:val="004B158B"/>
    <w:rsid w:val="004B7DF4"/>
    <w:rsid w:val="004E0A78"/>
    <w:rsid w:val="004E7E0E"/>
    <w:rsid w:val="004F0FA5"/>
    <w:rsid w:val="004F1515"/>
    <w:rsid w:val="0050043B"/>
    <w:rsid w:val="00501B78"/>
    <w:rsid w:val="0053004B"/>
    <w:rsid w:val="00534BB6"/>
    <w:rsid w:val="00536E13"/>
    <w:rsid w:val="00557E2F"/>
    <w:rsid w:val="005806EF"/>
    <w:rsid w:val="005839AC"/>
    <w:rsid w:val="00591802"/>
    <w:rsid w:val="005971BA"/>
    <w:rsid w:val="005A0127"/>
    <w:rsid w:val="005A5904"/>
    <w:rsid w:val="005B45FC"/>
    <w:rsid w:val="005C5B48"/>
    <w:rsid w:val="005E4780"/>
    <w:rsid w:val="005F0153"/>
    <w:rsid w:val="005F3CC7"/>
    <w:rsid w:val="005F4737"/>
    <w:rsid w:val="006026D2"/>
    <w:rsid w:val="00625C17"/>
    <w:rsid w:val="00627BBB"/>
    <w:rsid w:val="00627F64"/>
    <w:rsid w:val="00645191"/>
    <w:rsid w:val="00683B7A"/>
    <w:rsid w:val="00686894"/>
    <w:rsid w:val="006B25CE"/>
    <w:rsid w:val="006B2C7C"/>
    <w:rsid w:val="006B5443"/>
    <w:rsid w:val="006D331F"/>
    <w:rsid w:val="006D46EA"/>
    <w:rsid w:val="006E31CC"/>
    <w:rsid w:val="006F10A8"/>
    <w:rsid w:val="0070453D"/>
    <w:rsid w:val="007046BD"/>
    <w:rsid w:val="00707946"/>
    <w:rsid w:val="00707A73"/>
    <w:rsid w:val="0072181F"/>
    <w:rsid w:val="00725524"/>
    <w:rsid w:val="00725DAB"/>
    <w:rsid w:val="00741729"/>
    <w:rsid w:val="007420E7"/>
    <w:rsid w:val="00746CF0"/>
    <w:rsid w:val="00782CB3"/>
    <w:rsid w:val="00783CD4"/>
    <w:rsid w:val="00784003"/>
    <w:rsid w:val="0079262E"/>
    <w:rsid w:val="00793C75"/>
    <w:rsid w:val="007A0D4F"/>
    <w:rsid w:val="007A1CCA"/>
    <w:rsid w:val="007A2612"/>
    <w:rsid w:val="007B562B"/>
    <w:rsid w:val="007C117F"/>
    <w:rsid w:val="007C5E21"/>
    <w:rsid w:val="007D353A"/>
    <w:rsid w:val="007E00BB"/>
    <w:rsid w:val="008127D5"/>
    <w:rsid w:val="00832780"/>
    <w:rsid w:val="00834218"/>
    <w:rsid w:val="00854A68"/>
    <w:rsid w:val="00855E4C"/>
    <w:rsid w:val="00873616"/>
    <w:rsid w:val="0087424C"/>
    <w:rsid w:val="00877FD0"/>
    <w:rsid w:val="00881BC8"/>
    <w:rsid w:val="00883689"/>
    <w:rsid w:val="0088457C"/>
    <w:rsid w:val="008860DC"/>
    <w:rsid w:val="00897E4C"/>
    <w:rsid w:val="008A6083"/>
    <w:rsid w:val="008B38C2"/>
    <w:rsid w:val="008C3AD4"/>
    <w:rsid w:val="008E50FB"/>
    <w:rsid w:val="008E6F52"/>
    <w:rsid w:val="008E779F"/>
    <w:rsid w:val="00913B3E"/>
    <w:rsid w:val="00933597"/>
    <w:rsid w:val="009342D5"/>
    <w:rsid w:val="00936A7A"/>
    <w:rsid w:val="009373D4"/>
    <w:rsid w:val="00940B4A"/>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2BFA"/>
    <w:rsid w:val="00A86C7F"/>
    <w:rsid w:val="00AA0B2A"/>
    <w:rsid w:val="00AA588B"/>
    <w:rsid w:val="00AB23DE"/>
    <w:rsid w:val="00AB377F"/>
    <w:rsid w:val="00AC6638"/>
    <w:rsid w:val="00AE37FD"/>
    <w:rsid w:val="00AE46B7"/>
    <w:rsid w:val="00AE6D61"/>
    <w:rsid w:val="00B0169A"/>
    <w:rsid w:val="00B12913"/>
    <w:rsid w:val="00B17ADE"/>
    <w:rsid w:val="00B263F4"/>
    <w:rsid w:val="00B370D2"/>
    <w:rsid w:val="00B45889"/>
    <w:rsid w:val="00B4609D"/>
    <w:rsid w:val="00B53E11"/>
    <w:rsid w:val="00B54BF9"/>
    <w:rsid w:val="00B67395"/>
    <w:rsid w:val="00B715AB"/>
    <w:rsid w:val="00B80BCF"/>
    <w:rsid w:val="00B85B83"/>
    <w:rsid w:val="00B860A2"/>
    <w:rsid w:val="00B94B9E"/>
    <w:rsid w:val="00BA7FDC"/>
    <w:rsid w:val="00BC131C"/>
    <w:rsid w:val="00BC5C69"/>
    <w:rsid w:val="00BD1C6E"/>
    <w:rsid w:val="00BE2257"/>
    <w:rsid w:val="00BE7A35"/>
    <w:rsid w:val="00C111C2"/>
    <w:rsid w:val="00C22EB9"/>
    <w:rsid w:val="00C26183"/>
    <w:rsid w:val="00C31061"/>
    <w:rsid w:val="00C312EC"/>
    <w:rsid w:val="00C31ED2"/>
    <w:rsid w:val="00C466DF"/>
    <w:rsid w:val="00C54F63"/>
    <w:rsid w:val="00C57047"/>
    <w:rsid w:val="00C62F7A"/>
    <w:rsid w:val="00C7735F"/>
    <w:rsid w:val="00C836C6"/>
    <w:rsid w:val="00C94A81"/>
    <w:rsid w:val="00C97F7F"/>
    <w:rsid w:val="00CB1F6F"/>
    <w:rsid w:val="00CB2D63"/>
    <w:rsid w:val="00CB4F7A"/>
    <w:rsid w:val="00CB5A66"/>
    <w:rsid w:val="00CC1A53"/>
    <w:rsid w:val="00CC31A1"/>
    <w:rsid w:val="00CC6993"/>
    <w:rsid w:val="00CE75E9"/>
    <w:rsid w:val="00D03D79"/>
    <w:rsid w:val="00D10197"/>
    <w:rsid w:val="00D162D3"/>
    <w:rsid w:val="00D34C6B"/>
    <w:rsid w:val="00D41721"/>
    <w:rsid w:val="00D45E6E"/>
    <w:rsid w:val="00D46FFD"/>
    <w:rsid w:val="00D5682A"/>
    <w:rsid w:val="00D64A7D"/>
    <w:rsid w:val="00D80E8E"/>
    <w:rsid w:val="00D977B2"/>
    <w:rsid w:val="00DB2B00"/>
    <w:rsid w:val="00DC307E"/>
    <w:rsid w:val="00DC77BF"/>
    <w:rsid w:val="00DD2DA6"/>
    <w:rsid w:val="00E248F0"/>
    <w:rsid w:val="00E416FC"/>
    <w:rsid w:val="00E555CD"/>
    <w:rsid w:val="00E751B0"/>
    <w:rsid w:val="00E75397"/>
    <w:rsid w:val="00E97F2A"/>
    <w:rsid w:val="00EB74C9"/>
    <w:rsid w:val="00EC37A7"/>
    <w:rsid w:val="00F00014"/>
    <w:rsid w:val="00F13963"/>
    <w:rsid w:val="00F13C00"/>
    <w:rsid w:val="00F3433F"/>
    <w:rsid w:val="00F5215A"/>
    <w:rsid w:val="00F60238"/>
    <w:rsid w:val="00F7556F"/>
    <w:rsid w:val="00F80103"/>
    <w:rsid w:val="00F808CB"/>
    <w:rsid w:val="00F972E8"/>
    <w:rsid w:val="00FA1EBA"/>
    <w:rsid w:val="00FA4E3F"/>
    <w:rsid w:val="00FB0192"/>
    <w:rsid w:val="00FB6D25"/>
    <w:rsid w:val="00FB7534"/>
    <w:rsid w:val="00FB7BB1"/>
    <w:rsid w:val="00FC7D26"/>
    <w:rsid w:val="00FD6C30"/>
    <w:rsid w:val="00FE49D6"/>
    <w:rsid w:val="00FF3102"/>
    <w:rsid w:val="00FF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14</cp:revision>
  <cp:lastPrinted>2017-11-07T10:18:00Z</cp:lastPrinted>
  <dcterms:created xsi:type="dcterms:W3CDTF">2025-07-28T09:22:00Z</dcterms:created>
  <dcterms:modified xsi:type="dcterms:W3CDTF">2025-07-29T10:15:00Z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