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0E" w:rsidRPr="00382B0E" w:rsidRDefault="00382B0E" w:rsidP="00DD10ED">
      <w:pPr>
        <w:rPr>
          <w:rFonts w:ascii="Cambria" w:hAnsi="Cambria" w:cs="Arial"/>
          <w:b/>
          <w:color w:val="1F4E79" w:themeColor="accent1" w:themeShade="80"/>
          <w:sz w:val="40"/>
          <w:szCs w:val="40"/>
        </w:rPr>
      </w:pPr>
      <w:bookmarkStart w:id="0" w:name="_GoBack"/>
      <w:bookmarkEnd w:id="0"/>
      <w:r w:rsidRPr="00382B0E">
        <w:rPr>
          <w:rFonts w:ascii="Cambria" w:hAnsi="Cambria" w:cs="Arial"/>
          <w:b/>
          <w:color w:val="1F4E79" w:themeColor="accent1" w:themeShade="80"/>
          <w:sz w:val="40"/>
          <w:szCs w:val="40"/>
        </w:rPr>
        <w:t>SESSION PLAN</w:t>
      </w:r>
    </w:p>
    <w:p w:rsidR="00DD10ED" w:rsidRPr="00382B0E" w:rsidRDefault="00F271F6" w:rsidP="00DD10ED">
      <w:pPr>
        <w:rPr>
          <w:rFonts w:ascii="Cambria" w:hAnsi="Cambria" w:cs="Arial"/>
          <w:b/>
          <w:color w:val="1F4E79" w:themeColor="accent1" w:themeShade="80"/>
          <w:sz w:val="32"/>
          <w:szCs w:val="32"/>
        </w:rPr>
      </w:pPr>
      <w:r w:rsidRPr="00382B0E">
        <w:rPr>
          <w:rFonts w:ascii="Cambria" w:hAnsi="Cambria" w:cs="Arial"/>
          <w:b/>
          <w:color w:val="1F4E79" w:themeColor="accent1" w:themeShade="80"/>
          <w:sz w:val="32"/>
          <w:szCs w:val="32"/>
        </w:rPr>
        <w:t>SESSION 8:  YOUNG PEOPLE’S DRINKING AND THE LANCASHIRE PICTURE</w:t>
      </w:r>
    </w:p>
    <w:p w:rsidR="00DD10ED" w:rsidRPr="00DD10ED" w:rsidRDefault="00DD10ED" w:rsidP="00DD10ED">
      <w:pPr>
        <w:rPr>
          <w:rFonts w:ascii="Cambria" w:hAnsi="Cambria" w:cs="Arial"/>
          <w:color w:val="000000" w:themeColor="text1"/>
          <w:sz w:val="28"/>
          <w:szCs w:val="28"/>
        </w:rPr>
      </w:pPr>
      <w:r w:rsidRPr="00DD10ED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ListTable2Accent5"/>
        <w:tblW w:w="0" w:type="auto"/>
        <w:tblLook w:val="04A0"/>
      </w:tblPr>
      <w:tblGrid>
        <w:gridCol w:w="3652"/>
        <w:gridCol w:w="5590"/>
      </w:tblGrid>
      <w:tr w:rsidR="00DD10ED" w:rsidRPr="00DD10ED" w:rsidTr="00DD10ED">
        <w:trPr>
          <w:cnfStyle w:val="100000000000"/>
        </w:trPr>
        <w:tc>
          <w:tcPr>
            <w:cnfStyle w:val="001000000000"/>
            <w:tcW w:w="3652" w:type="dxa"/>
          </w:tcPr>
          <w:p w:rsidR="00DD10ED" w:rsidRPr="00DD10ED" w:rsidRDefault="00A35D29" w:rsidP="00A35D2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Aim of Session</w:t>
            </w:r>
            <w:r w:rsidR="00DD10ED"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DD10ED" w:rsidRPr="00DD10ED" w:rsidRDefault="001443BA" w:rsidP="00A35D29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Consider </w:t>
            </w:r>
            <w:r w:rsidR="00A35D29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local data relating to the supply of alcohol to young people </w:t>
            </w:r>
            <w:r w:rsidR="00672F26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alongside the UN Rights of the Child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</w:p>
          <w:p w:rsidR="00DD10ED" w:rsidRPr="00DD10ED" w:rsidRDefault="002B7B48" w:rsidP="004C3ECC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DD10ED">
              <w:t xml:space="preserve"> </w:t>
            </w:r>
          </w:p>
        </w:tc>
      </w:tr>
      <w:tr w:rsidR="00DD10ED" w:rsidRPr="00DD10ED" w:rsidTr="00DD10ED">
        <w:trPr>
          <w:cnfStyle w:val="000000100000"/>
        </w:trPr>
        <w:tc>
          <w:tcPr>
            <w:cnfStyle w:val="001000000000"/>
            <w:tcW w:w="3652" w:type="dxa"/>
          </w:tcPr>
          <w:p w:rsidR="00DD10ED" w:rsidRPr="00DD10ED" w:rsidRDefault="00DD10ED" w:rsidP="00A35D29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DD10ED" w:rsidRPr="00DD10ED" w:rsidRDefault="00DD10ED" w:rsidP="00A35D2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DD10ED" w:rsidRPr="00DD10ED" w:rsidTr="00DD10ED">
        <w:tc>
          <w:tcPr>
            <w:cnfStyle w:val="001000000000"/>
            <w:tcW w:w="3652" w:type="dxa"/>
          </w:tcPr>
          <w:p w:rsidR="00DD10ED" w:rsidRPr="00DD10ED" w:rsidRDefault="00DD10ED" w:rsidP="00A35D2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You will need: </w:t>
            </w:r>
          </w:p>
          <w:p w:rsidR="00DD10ED" w:rsidRPr="00DD10ED" w:rsidRDefault="00DD10ED" w:rsidP="00A35D29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DD10ED" w:rsidRPr="00DD10ED" w:rsidRDefault="00DD10ED" w:rsidP="00A35D29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DD10ED" w:rsidRPr="00DD10ED" w:rsidRDefault="00DD10ED" w:rsidP="00A35D2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Time: 50 minutes</w:t>
            </w:r>
          </w:p>
          <w:p w:rsidR="00DD10ED" w:rsidRPr="00DD10ED" w:rsidRDefault="00DD10ED" w:rsidP="00A35D2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DD10ED" w:rsidRPr="00DD10ED" w:rsidRDefault="004C3ECC" w:rsidP="00DD10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PowerPoint</w:t>
            </w:r>
            <w:r w:rsidR="00DD10ED"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How much is too much?</w:t>
            </w:r>
          </w:p>
          <w:p w:rsidR="00DD10ED" w:rsidRPr="00DD10ED" w:rsidRDefault="00DD10ED" w:rsidP="00DD10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Flipchart paper</w:t>
            </w:r>
          </w:p>
          <w:p w:rsidR="00DD10ED" w:rsidRDefault="00DD10ED" w:rsidP="00DD10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Information sheet</w:t>
            </w:r>
            <w:r w:rsidR="00A35D29">
              <w:rPr>
                <w:rFonts w:ascii="Cambria" w:hAnsi="Cambria" w:cs="Arial"/>
                <w:color w:val="000000" w:themeColor="text1"/>
                <w:sz w:val="24"/>
                <w:szCs w:val="24"/>
              </w:rPr>
              <w:t>s</w:t>
            </w:r>
            <w:r w:rsidR="00DE5BC1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 w:rsidR="0017293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1,</w:t>
            </w:r>
            <w:r w:rsidR="004C3ECC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 w:rsidR="0017293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2</w:t>
            </w:r>
            <w:r w:rsidR="004C3ECC">
              <w:rPr>
                <w:rFonts w:ascii="Cambria" w:hAnsi="Cambria" w:cs="Arial"/>
                <w:color w:val="000000" w:themeColor="text1"/>
                <w:sz w:val="24"/>
                <w:szCs w:val="24"/>
              </w:rPr>
              <w:t>,</w:t>
            </w:r>
            <w:r w:rsidR="0017293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3</w:t>
            </w:r>
            <w:r w:rsidR="004C3ECC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&amp; 4</w:t>
            </w:r>
            <w:r w:rsidR="0017293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 w:rsidR="00DE5BC1">
              <w:rPr>
                <w:rFonts w:ascii="Cambria" w:hAnsi="Cambria" w:cs="Arial"/>
                <w:color w:val="000000" w:themeColor="text1"/>
                <w:sz w:val="24"/>
                <w:szCs w:val="24"/>
              </w:rPr>
              <w:t>for groups</w:t>
            </w:r>
          </w:p>
          <w:p w:rsidR="00DD10ED" w:rsidRPr="004C3ECC" w:rsidRDefault="00DD10ED" w:rsidP="004C3ECC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DD10ED" w:rsidRPr="00DD10ED" w:rsidTr="00DD10ED">
        <w:trPr>
          <w:cnfStyle w:val="000000100000"/>
        </w:trPr>
        <w:tc>
          <w:tcPr>
            <w:cnfStyle w:val="001000000000"/>
            <w:tcW w:w="3652" w:type="dxa"/>
          </w:tcPr>
          <w:p w:rsidR="00DD10ED" w:rsidRPr="00DD10ED" w:rsidRDefault="00DD10ED" w:rsidP="00A35D2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Introduction Activity</w:t>
            </w:r>
          </w:p>
          <w:p w:rsidR="00DD10ED" w:rsidRPr="00DD10ED" w:rsidRDefault="00DD10ED" w:rsidP="00A35D2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  <w:p w:rsidR="00DD10ED" w:rsidRPr="00DD10ED" w:rsidRDefault="00DD10ED" w:rsidP="00A35D2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                             (10 minutes)</w:t>
            </w:r>
          </w:p>
          <w:p w:rsidR="00DD10ED" w:rsidRPr="00DD10ED" w:rsidRDefault="00DD10ED" w:rsidP="00A35D2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  <w:p w:rsidR="00DD10ED" w:rsidRPr="00DD10ED" w:rsidRDefault="00DD10ED" w:rsidP="00A35D29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DD10ED" w:rsidRPr="00DD10ED" w:rsidRDefault="00DD10ED" w:rsidP="00A35D2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DD10ED" w:rsidRPr="00DD10ED" w:rsidRDefault="00DD10ED" w:rsidP="00A35D2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View </w:t>
            </w:r>
            <w:r w:rsidR="004C3ECC"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PowerPoint</w:t>
            </w: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'How much is too much?'</w:t>
            </w:r>
          </w:p>
          <w:p w:rsidR="00DD10ED" w:rsidRPr="00DD10ED" w:rsidRDefault="00DD10ED" w:rsidP="00A35D2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DD10ED" w:rsidRPr="00DD10ED" w:rsidRDefault="00DD10ED" w:rsidP="00A35D2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Does the class feel that the results accurately reflect their local area?</w:t>
            </w:r>
          </w:p>
          <w:p w:rsidR="00DD10ED" w:rsidRPr="00DD10ED" w:rsidRDefault="00DD10ED" w:rsidP="00A35D2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DD10ED" w:rsidRPr="00DD10ED" w:rsidTr="00DD10ED">
        <w:tc>
          <w:tcPr>
            <w:cnfStyle w:val="001000000000"/>
            <w:tcW w:w="3652" w:type="dxa"/>
          </w:tcPr>
          <w:p w:rsidR="00DD10ED" w:rsidRPr="00DD10ED" w:rsidRDefault="00DD10ED" w:rsidP="00A35D29">
            <w:pPr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590" w:type="dxa"/>
          </w:tcPr>
          <w:p w:rsidR="00DD10ED" w:rsidRPr="00DD10ED" w:rsidRDefault="00DD10ED" w:rsidP="00A35D29">
            <w:pPr>
              <w:cnfStyle w:val="000000000000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</w:tc>
      </w:tr>
      <w:tr w:rsidR="00DD10ED" w:rsidRPr="00DD10ED" w:rsidTr="00DD10ED">
        <w:trPr>
          <w:cnfStyle w:val="000000100000"/>
        </w:trPr>
        <w:tc>
          <w:tcPr>
            <w:cnfStyle w:val="001000000000"/>
            <w:tcW w:w="3652" w:type="dxa"/>
          </w:tcPr>
          <w:p w:rsidR="00DD10ED" w:rsidRPr="00DD10ED" w:rsidRDefault="00DD10ED" w:rsidP="00A35D2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Main Activity:</w:t>
            </w:r>
          </w:p>
          <w:p w:rsidR="00DD10ED" w:rsidRPr="00DD10ED" w:rsidRDefault="00DD10ED" w:rsidP="00A35D2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>
                  <wp:extent cx="409575" cy="409575"/>
                  <wp:effectExtent l="19050" t="0" r="9525" b="0"/>
                  <wp:docPr id="3" name="Picture 1" descr="filmree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mree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                  (35 minutes)</w:t>
            </w:r>
          </w:p>
          <w:p w:rsidR="00DD10ED" w:rsidRPr="00DD10ED" w:rsidRDefault="00DD10ED" w:rsidP="00A35D2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DD10ED" w:rsidRDefault="00DD10ED" w:rsidP="00A35D2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Divide into groups</w:t>
            </w:r>
            <w:r w:rsidR="004C3ECC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. </w:t>
            </w: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 w:rsidR="004C3ECC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Allocate each group one of the three tasks and distribute the </w:t>
            </w: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relevant information sheets</w:t>
            </w:r>
            <w:r w:rsidR="004C3ECC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1, 2 or 3</w:t>
            </w: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 w:rsidR="001443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plus </w:t>
            </w:r>
            <w:r w:rsidR="00955ADF">
              <w:rPr>
                <w:rFonts w:ascii="Cambria" w:hAnsi="Cambria" w:cs="Arial"/>
                <w:color w:val="000000" w:themeColor="text1"/>
                <w:sz w:val="24"/>
                <w:szCs w:val="24"/>
              </w:rPr>
              <w:t>'I</w:t>
            </w:r>
            <w:r w:rsidR="004C3ECC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nformation sheet </w:t>
            </w:r>
            <w:r w:rsidR="0017293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4</w:t>
            </w:r>
            <w:r w:rsidR="00955ADF">
              <w:rPr>
                <w:rFonts w:ascii="Cambria" w:hAnsi="Cambria" w:cs="Arial"/>
                <w:color w:val="000000" w:themeColor="text1"/>
                <w:sz w:val="24"/>
                <w:szCs w:val="24"/>
              </w:rPr>
              <w:t>'</w:t>
            </w:r>
            <w:r w:rsidR="0017293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about the UN Convention of the Rights of a Child</w:t>
            </w:r>
            <w:r w:rsidR="004C3ECC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to all</w:t>
            </w:r>
            <w:r w:rsidR="001443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groups</w:t>
            </w:r>
            <w:r w:rsidR="0017293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  <w:r w:rsidR="009B675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4C3ECC" w:rsidRDefault="004C3ECC" w:rsidP="00A35D2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4C3ECC" w:rsidRDefault="004C3ECC" w:rsidP="00A35D2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Ask the</w:t>
            </w: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participants</w:t>
            </w: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to prepare a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presentation</w:t>
            </w: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on their allocated topic</w:t>
            </w: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to </w:t>
            </w: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present to the group. </w:t>
            </w:r>
          </w:p>
          <w:p w:rsidR="004C3ECC" w:rsidRDefault="004C3ECC" w:rsidP="00A35D2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4C3ECC" w:rsidRDefault="001203B1" w:rsidP="00A35D2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At the end of their presentation each group must make a proposal about either</w:t>
            </w:r>
            <w:r w:rsidR="004C3ECC">
              <w:rPr>
                <w:rFonts w:ascii="Cambria" w:hAnsi="Cambria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4C3ECC" w:rsidRDefault="001203B1" w:rsidP="004C3E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4C3ECC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a change </w:t>
            </w:r>
            <w:r w:rsidR="004C3ECC" w:rsidRPr="004C3ECC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to </w:t>
            </w:r>
            <w:r w:rsidR="00955ADF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the l</w:t>
            </w:r>
            <w:r w:rsidRPr="004C3ECC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aw</w:t>
            </w:r>
            <w:r w:rsidR="001443BA">
              <w:rPr>
                <w:rFonts w:ascii="Cambria" w:hAnsi="Cambria" w:cs="Arial"/>
                <w:color w:val="000000" w:themeColor="text1"/>
                <w:sz w:val="24"/>
                <w:szCs w:val="24"/>
              </w:rPr>
              <w:br/>
            </w:r>
            <w:r w:rsidR="001443BA" w:rsidRPr="001443BA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OR</w:t>
            </w:r>
            <w:r w:rsidRPr="001443BA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203B1" w:rsidRPr="004C3ECC" w:rsidRDefault="001203B1" w:rsidP="004C3E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proofErr w:type="gramStart"/>
            <w:r w:rsidRPr="004C3ECC">
              <w:rPr>
                <w:rFonts w:ascii="Cambria" w:hAnsi="Cambria" w:cs="Arial"/>
                <w:color w:val="000000" w:themeColor="text1"/>
                <w:sz w:val="24"/>
                <w:szCs w:val="24"/>
              </w:rPr>
              <w:t>guidance</w:t>
            </w:r>
            <w:proofErr w:type="gramEnd"/>
            <w:r w:rsidRPr="004C3ECC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need</w:t>
            </w:r>
            <w:r w:rsidR="00955ADF">
              <w:rPr>
                <w:rFonts w:ascii="Cambria" w:hAnsi="Cambria" w:cs="Arial"/>
                <w:color w:val="000000" w:themeColor="text1"/>
                <w:sz w:val="24"/>
                <w:szCs w:val="24"/>
              </w:rPr>
              <w:t>ed for young people, families, p</w:t>
            </w:r>
            <w:r w:rsidRPr="004C3ECC">
              <w:rPr>
                <w:rFonts w:ascii="Cambria" w:hAnsi="Cambria" w:cs="Arial"/>
                <w:color w:val="000000" w:themeColor="text1"/>
                <w:sz w:val="24"/>
                <w:szCs w:val="24"/>
              </w:rPr>
              <w:t>olice or other community members in relation to their topic</w:t>
            </w:r>
            <w:r w:rsidR="00955ADF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</w:p>
          <w:p w:rsidR="00DD10ED" w:rsidRPr="00DD10ED" w:rsidRDefault="00DD10ED" w:rsidP="00A35D2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DD10ED" w:rsidRPr="00DD10ED" w:rsidRDefault="00DD10ED" w:rsidP="00A35D2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Group One:</w:t>
            </w: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57% of young people in Lancashire say that they get their alcohol from their parents.  Do you think this is a good way to introduce young people to alcohol</w:t>
            </w:r>
            <w:r w:rsidR="0017293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or are their parents their 'suppliers'</w:t>
            </w:r>
            <w:r w:rsidR="00F256AF">
              <w:rPr>
                <w:rFonts w:ascii="Cambria" w:hAnsi="Cambria" w:cs="Arial"/>
                <w:color w:val="000000" w:themeColor="text1"/>
                <w:sz w:val="24"/>
                <w:szCs w:val="24"/>
              </w:rPr>
              <w:t>?</w:t>
            </w:r>
          </w:p>
          <w:p w:rsidR="00DD10ED" w:rsidRPr="00DD10ED" w:rsidRDefault="00DD10ED" w:rsidP="00A35D2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DD10ED" w:rsidRPr="00DD10ED" w:rsidRDefault="00DD10ED" w:rsidP="00A35D29">
            <w:pPr>
              <w:cnfStyle w:val="000000100000"/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Group Two</w:t>
            </w: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: In some areas of Lancashire activity called the Community Alcohol Network is carried out. ASB police patrol</w:t>
            </w:r>
            <w:r w:rsidR="00955ADF">
              <w:rPr>
                <w:rFonts w:ascii="Cambria" w:hAnsi="Cambria" w:cs="Arial"/>
                <w:color w:val="000000" w:themeColor="text1"/>
                <w:sz w:val="24"/>
                <w:szCs w:val="24"/>
              </w:rPr>
              <w:t>s</w:t>
            </w: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on Friday and Saturday nights finding young people who are drinking on the streets. Do you think this is something that young people should </w:t>
            </w:r>
            <w:proofErr w:type="gramStart"/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support ?</w:t>
            </w:r>
            <w:proofErr w:type="gramEnd"/>
          </w:p>
          <w:p w:rsidR="00DD10ED" w:rsidRPr="00DD10ED" w:rsidRDefault="00DD10ED" w:rsidP="00A35D29">
            <w:pPr>
              <w:cnfStyle w:val="000000100000"/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</w:pPr>
          </w:p>
          <w:p w:rsidR="00DD10ED" w:rsidRPr="00DD10ED" w:rsidRDefault="00DD10ED" w:rsidP="00A35D29">
            <w:pPr>
              <w:cnfStyle w:val="000000100000"/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Group Three: </w:t>
            </w: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30% of young people in Lancashire said they were aware of 'drinking dens / party houses' in their area. Can you identify some positive and negative aspects of young</w:t>
            </w:r>
            <w:r w:rsidR="00B22B3B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people drinking in these areas</w:t>
            </w: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?</w:t>
            </w:r>
          </w:p>
          <w:p w:rsidR="00DD10ED" w:rsidRPr="00DD10ED" w:rsidRDefault="00DD10ED" w:rsidP="00A35D29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DD10ED" w:rsidRPr="00DD10ED" w:rsidTr="00DD10ED">
        <w:tc>
          <w:tcPr>
            <w:cnfStyle w:val="001000000000"/>
            <w:tcW w:w="3652" w:type="dxa"/>
          </w:tcPr>
          <w:p w:rsidR="00DD10ED" w:rsidRPr="00DD10ED" w:rsidRDefault="00DD10ED" w:rsidP="00A35D2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lastRenderedPageBreak/>
              <w:t>Plenary</w:t>
            </w:r>
          </w:p>
          <w:p w:rsidR="00DD10ED" w:rsidRPr="00DD10ED" w:rsidRDefault="00DD10ED" w:rsidP="00A35D2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DD10ED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>
                  <wp:extent cx="542925" cy="523875"/>
                  <wp:effectExtent l="19050" t="0" r="9525" b="0"/>
                  <wp:docPr id="9" name="Picture 3" descr="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o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567D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   </w:t>
            </w:r>
            <w:r w:rsidRPr="00DD10E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(5 minutes) </w:t>
            </w:r>
          </w:p>
        </w:tc>
        <w:tc>
          <w:tcPr>
            <w:tcW w:w="5590" w:type="dxa"/>
          </w:tcPr>
          <w:p w:rsidR="00567D64" w:rsidRDefault="001203B1" w:rsidP="00CE6C55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The main group to vote on the proposals made by individual groups </w:t>
            </w:r>
          </w:p>
        </w:tc>
      </w:tr>
    </w:tbl>
    <w:p w:rsidR="00517249" w:rsidRDefault="00517249" w:rsidP="0053531C">
      <w:pPr>
        <w:rPr>
          <w:rFonts w:ascii="Cambria" w:hAnsi="Cambria"/>
          <w:szCs w:val="24"/>
        </w:rPr>
      </w:pPr>
    </w:p>
    <w:p w:rsidR="00DE4658" w:rsidRPr="00CE6C55" w:rsidRDefault="00567D64" w:rsidP="0053531C">
      <w:pPr>
        <w:rPr>
          <w:rFonts w:ascii="Cambria" w:hAnsi="Cambria"/>
          <w:color w:val="FF0000"/>
          <w:szCs w:val="24"/>
        </w:rPr>
      </w:pPr>
      <w:r w:rsidRPr="00CE6C55">
        <w:rPr>
          <w:rFonts w:ascii="Cambria" w:hAnsi="Cambria"/>
          <w:color w:val="FF0000"/>
          <w:szCs w:val="24"/>
        </w:rPr>
        <w:t>Further information for the facilitator to support the PowerPoint:</w:t>
      </w:r>
    </w:p>
    <w:p w:rsidR="00A8447E" w:rsidRPr="00DE4658" w:rsidRDefault="00906727" w:rsidP="00DE4658">
      <w:pPr>
        <w:numPr>
          <w:ilvl w:val="0"/>
          <w:numId w:val="4"/>
        </w:numPr>
        <w:rPr>
          <w:rFonts w:ascii="Cambria" w:hAnsi="Cambria"/>
          <w:szCs w:val="24"/>
        </w:rPr>
      </w:pPr>
      <w:r w:rsidRPr="00DE4658">
        <w:rPr>
          <w:rFonts w:ascii="Cambria" w:hAnsi="Cambria"/>
          <w:szCs w:val="24"/>
        </w:rPr>
        <w:t>UK daily guidelines for sensible levels of drinking for adults are defined as a ‘unit’  it is recommended that men should not exceed 3-4 units a day and women 2-3 units a day.</w:t>
      </w:r>
    </w:p>
    <w:p w:rsidR="00567D64" w:rsidRPr="001443BA" w:rsidRDefault="00906727" w:rsidP="001443BA">
      <w:pPr>
        <w:pStyle w:val="ListParagraph"/>
        <w:numPr>
          <w:ilvl w:val="0"/>
          <w:numId w:val="4"/>
        </w:numPr>
        <w:rPr>
          <w:rFonts w:ascii="Cambria" w:hAnsi="Cambria"/>
          <w:szCs w:val="24"/>
        </w:rPr>
      </w:pPr>
      <w:r w:rsidRPr="001443BA">
        <w:rPr>
          <w:rFonts w:ascii="Cambria" w:hAnsi="Cambria"/>
          <w:szCs w:val="24"/>
        </w:rPr>
        <w:t xml:space="preserve">Guidelines vary for men and women as women are generally smaller than men and have less body water; also they have less of the enzyme which breaks down alcohol. </w:t>
      </w:r>
    </w:p>
    <w:p w:rsidR="00567D64" w:rsidRDefault="00DE4658" w:rsidP="00CE6C55">
      <w:pPr>
        <w:numPr>
          <w:ilvl w:val="0"/>
          <w:numId w:val="5"/>
        </w:numPr>
        <w:rPr>
          <w:rFonts w:ascii="Cambria" w:hAnsi="Cambria"/>
          <w:szCs w:val="24"/>
        </w:rPr>
      </w:pPr>
      <w:r w:rsidRPr="00DE4658">
        <w:rPr>
          <w:rFonts w:ascii="Cambria" w:hAnsi="Cambria"/>
          <w:szCs w:val="24"/>
        </w:rPr>
        <w:t>How alc</w:t>
      </w:r>
      <w:r w:rsidR="00955ADF">
        <w:rPr>
          <w:rFonts w:ascii="Cambria" w:hAnsi="Cambria"/>
          <w:szCs w:val="24"/>
        </w:rPr>
        <w:t>ohol affects you will depend on</w:t>
      </w:r>
      <w:r w:rsidRPr="00DE4658">
        <w:rPr>
          <w:rFonts w:ascii="Cambria" w:hAnsi="Cambria"/>
          <w:szCs w:val="24"/>
        </w:rPr>
        <w:t>; your age, size, sex and health, how quickly you drink and whether you’re eating</w:t>
      </w:r>
      <w:r w:rsidR="00955ADF">
        <w:rPr>
          <w:rFonts w:ascii="Cambria" w:hAnsi="Cambria"/>
          <w:szCs w:val="24"/>
        </w:rPr>
        <w:t>.</w:t>
      </w:r>
    </w:p>
    <w:p w:rsidR="00A8447E" w:rsidRPr="00DE4658" w:rsidRDefault="00906727" w:rsidP="00DE4658">
      <w:pPr>
        <w:numPr>
          <w:ilvl w:val="0"/>
          <w:numId w:val="6"/>
        </w:numPr>
        <w:rPr>
          <w:rFonts w:ascii="Cambria" w:hAnsi="Cambria"/>
          <w:szCs w:val="24"/>
        </w:rPr>
      </w:pPr>
      <w:r w:rsidRPr="00DE4658">
        <w:rPr>
          <w:rFonts w:ascii="Cambria" w:hAnsi="Cambria"/>
          <w:szCs w:val="24"/>
        </w:rPr>
        <w:t>Guidelines are daily rather than weekly, you should not ‘save up’ units and drink heavily at the weekends.</w:t>
      </w:r>
      <w:r w:rsidRPr="00DE4658">
        <w:rPr>
          <w:rFonts w:ascii="Cambria" w:hAnsi="Cambria"/>
          <w:szCs w:val="24"/>
        </w:rPr>
        <w:br/>
        <w:t xml:space="preserve"> </w:t>
      </w:r>
    </w:p>
    <w:p w:rsidR="00A8447E" w:rsidRPr="00DE4658" w:rsidRDefault="00906727" w:rsidP="00DE4658">
      <w:pPr>
        <w:numPr>
          <w:ilvl w:val="0"/>
          <w:numId w:val="6"/>
        </w:numPr>
        <w:rPr>
          <w:rFonts w:ascii="Cambria" w:hAnsi="Cambria"/>
          <w:szCs w:val="24"/>
        </w:rPr>
      </w:pPr>
      <w:r w:rsidRPr="00DE4658">
        <w:rPr>
          <w:rFonts w:ascii="Cambria" w:hAnsi="Cambria"/>
          <w:szCs w:val="24"/>
        </w:rPr>
        <w:lastRenderedPageBreak/>
        <w:t>Binge drinking over one or two nights a week can lead to health problems and anti-social behaviour.</w:t>
      </w:r>
      <w:r w:rsidRPr="00DE4658">
        <w:rPr>
          <w:rFonts w:ascii="Cambria" w:hAnsi="Cambria"/>
          <w:szCs w:val="24"/>
        </w:rPr>
        <w:br/>
        <w:t xml:space="preserve"> </w:t>
      </w:r>
    </w:p>
    <w:p w:rsidR="00A8447E" w:rsidRPr="00DE4658" w:rsidRDefault="00906727" w:rsidP="00DE4658">
      <w:pPr>
        <w:numPr>
          <w:ilvl w:val="0"/>
          <w:numId w:val="6"/>
        </w:numPr>
        <w:rPr>
          <w:rFonts w:ascii="Cambria" w:hAnsi="Cambria"/>
          <w:szCs w:val="24"/>
        </w:rPr>
      </w:pPr>
      <w:r w:rsidRPr="00DE4658">
        <w:rPr>
          <w:rFonts w:ascii="Cambria" w:hAnsi="Cambria"/>
          <w:szCs w:val="24"/>
        </w:rPr>
        <w:t xml:space="preserve">If you exceed the guidelines, it is recommended that you have 48 hours without alcohol to give your liver a chance to recover. </w:t>
      </w:r>
    </w:p>
    <w:p w:rsidR="00A8447E" w:rsidRPr="00DE4658" w:rsidRDefault="00906727" w:rsidP="00DE4658">
      <w:pPr>
        <w:numPr>
          <w:ilvl w:val="0"/>
          <w:numId w:val="6"/>
        </w:numPr>
        <w:rPr>
          <w:rFonts w:ascii="Cambria" w:hAnsi="Cambria"/>
          <w:szCs w:val="24"/>
        </w:rPr>
      </w:pPr>
      <w:r w:rsidRPr="00DE4658">
        <w:rPr>
          <w:rFonts w:ascii="Cambria" w:hAnsi="Cambria"/>
          <w:szCs w:val="24"/>
        </w:rPr>
        <w:t>Labels on bottles of alcoholic beverages usually contain information to help you. Icons on the label give the total number of units contained in a bottle or the number of units in a specific standard measure as well as alcoholic strength.</w:t>
      </w:r>
    </w:p>
    <w:p w:rsidR="00DE4658" w:rsidRPr="00DD10ED" w:rsidRDefault="00DE4658" w:rsidP="00DE4658">
      <w:pPr>
        <w:rPr>
          <w:rFonts w:ascii="Cambria" w:hAnsi="Cambria"/>
          <w:szCs w:val="24"/>
        </w:rPr>
      </w:pPr>
    </w:p>
    <w:sectPr w:rsidR="00DE4658" w:rsidRPr="00DD10ED" w:rsidSect="005172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934" w:rsidRDefault="00172934" w:rsidP="00F70FC2">
      <w:pPr>
        <w:spacing w:after="0" w:line="240" w:lineRule="auto"/>
      </w:pPr>
      <w:r>
        <w:separator/>
      </w:r>
    </w:p>
  </w:endnote>
  <w:endnote w:type="continuationSeparator" w:id="0">
    <w:p w:rsidR="00172934" w:rsidRDefault="00172934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88" w:rsidRDefault="009D0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34" w:rsidRDefault="00172934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88" w:rsidRDefault="009D0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934" w:rsidRDefault="00172934" w:rsidP="00F70FC2">
      <w:pPr>
        <w:spacing w:after="0" w:line="240" w:lineRule="auto"/>
      </w:pPr>
      <w:r>
        <w:separator/>
      </w:r>
    </w:p>
  </w:footnote>
  <w:footnote w:type="continuationSeparator" w:id="0">
    <w:p w:rsidR="00172934" w:rsidRDefault="00172934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88" w:rsidRDefault="009D06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34" w:rsidRDefault="003E2BDD">
    <w:pPr>
      <w:pStyle w:val="Header"/>
    </w:pPr>
    <w:sdt>
      <w:sdtPr>
        <w:id w:val="6787626"/>
        <w:docPartObj>
          <w:docPartGallery w:val="Page Numbers (Margins)"/>
          <w:docPartUnique/>
        </w:docPartObj>
      </w:sdtPr>
      <w:sdtContent>
        <w:r w:rsidRPr="003E2BDD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9D0688" w:rsidRDefault="009D0688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F271F6" w:rsidRPr="00F271F6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172934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88" w:rsidRDefault="009D06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C08BD"/>
    <w:multiLevelType w:val="hybridMultilevel"/>
    <w:tmpl w:val="CBB0B2F4"/>
    <w:lvl w:ilvl="0" w:tplc="AB649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EF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A0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86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362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A9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85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02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86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A82C1F"/>
    <w:multiLevelType w:val="hybridMultilevel"/>
    <w:tmpl w:val="A1A840EE"/>
    <w:lvl w:ilvl="0" w:tplc="644C1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2D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AD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20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AD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E5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6E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E1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6F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B05B19"/>
    <w:multiLevelType w:val="hybridMultilevel"/>
    <w:tmpl w:val="0BF0416C"/>
    <w:lvl w:ilvl="0" w:tplc="86980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D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AA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A4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B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CE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E8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64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6F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A51DE5"/>
    <w:multiLevelType w:val="hybridMultilevel"/>
    <w:tmpl w:val="21181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C66D6"/>
    <w:multiLevelType w:val="hybridMultilevel"/>
    <w:tmpl w:val="B52E174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FB04B42"/>
    <w:multiLevelType w:val="hybridMultilevel"/>
    <w:tmpl w:val="ECDA0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revisionView w:markup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B0765"/>
    <w:rsid w:val="000D1E79"/>
    <w:rsid w:val="001203B1"/>
    <w:rsid w:val="001443BA"/>
    <w:rsid w:val="00172934"/>
    <w:rsid w:val="001E5C31"/>
    <w:rsid w:val="002B147A"/>
    <w:rsid w:val="002B7B48"/>
    <w:rsid w:val="00382B0E"/>
    <w:rsid w:val="003E2BDD"/>
    <w:rsid w:val="0042757A"/>
    <w:rsid w:val="00443ECE"/>
    <w:rsid w:val="0049764B"/>
    <w:rsid w:val="004A7DE5"/>
    <w:rsid w:val="004C1126"/>
    <w:rsid w:val="004C1445"/>
    <w:rsid w:val="004C3ECC"/>
    <w:rsid w:val="004E1CFB"/>
    <w:rsid w:val="00517249"/>
    <w:rsid w:val="0053531C"/>
    <w:rsid w:val="00550F70"/>
    <w:rsid w:val="00567D64"/>
    <w:rsid w:val="005A7A49"/>
    <w:rsid w:val="005F44F1"/>
    <w:rsid w:val="006069A9"/>
    <w:rsid w:val="00672F26"/>
    <w:rsid w:val="006D35EB"/>
    <w:rsid w:val="006D57DD"/>
    <w:rsid w:val="00725D6F"/>
    <w:rsid w:val="007C1139"/>
    <w:rsid w:val="008A0F88"/>
    <w:rsid w:val="008E6072"/>
    <w:rsid w:val="00906727"/>
    <w:rsid w:val="00942768"/>
    <w:rsid w:val="00955ADF"/>
    <w:rsid w:val="009B6754"/>
    <w:rsid w:val="009D0688"/>
    <w:rsid w:val="00A35D29"/>
    <w:rsid w:val="00A40B1D"/>
    <w:rsid w:val="00A567D4"/>
    <w:rsid w:val="00A8447E"/>
    <w:rsid w:val="00AC1B08"/>
    <w:rsid w:val="00B22B3B"/>
    <w:rsid w:val="00B87734"/>
    <w:rsid w:val="00CE6C55"/>
    <w:rsid w:val="00D8322D"/>
    <w:rsid w:val="00D84E89"/>
    <w:rsid w:val="00DD10ED"/>
    <w:rsid w:val="00DE4658"/>
    <w:rsid w:val="00DE5BC1"/>
    <w:rsid w:val="00DE7087"/>
    <w:rsid w:val="00EC6056"/>
    <w:rsid w:val="00F015AF"/>
    <w:rsid w:val="00F171B9"/>
    <w:rsid w:val="00F256AF"/>
    <w:rsid w:val="00F271F6"/>
    <w:rsid w:val="00F70FC2"/>
    <w:rsid w:val="00FB63EB"/>
    <w:rsid w:val="00FE2948"/>
    <w:rsid w:val="00FE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6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E7C7-F6AB-4155-B21A-B4159CAC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rwilson001</cp:lastModifiedBy>
  <cp:revision>17</cp:revision>
  <cp:lastPrinted>2013-10-24T13:40:00Z</cp:lastPrinted>
  <dcterms:created xsi:type="dcterms:W3CDTF">2013-10-02T15:52:00Z</dcterms:created>
  <dcterms:modified xsi:type="dcterms:W3CDTF">2013-11-12T16:23:00Z</dcterms:modified>
</cp:coreProperties>
</file>